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7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954"/>
      </w:tblGrid>
      <w:tr w:rsidR="00E04DD1" w:rsidRPr="00841444" w:rsidTr="00E04DD1">
        <w:tc>
          <w:tcPr>
            <w:tcW w:w="4219" w:type="dxa"/>
          </w:tcPr>
          <w:p w:rsidR="00E04DD1" w:rsidRPr="00841444" w:rsidRDefault="00E04DD1" w:rsidP="00E04DD1">
            <w:pPr>
              <w:pStyle w:val="Heading1"/>
              <w:rPr>
                <w:sz w:val="24"/>
              </w:rPr>
            </w:pPr>
            <w:bookmarkStart w:id="0" w:name="_GoBack"/>
            <w:bookmarkEnd w:id="0"/>
            <w:r w:rsidRPr="00841444">
              <w:rPr>
                <w:sz w:val="24"/>
              </w:rPr>
              <w:t>Guideline title:</w:t>
            </w:r>
          </w:p>
        </w:tc>
        <w:tc>
          <w:tcPr>
            <w:tcW w:w="5954" w:type="dxa"/>
          </w:tcPr>
          <w:p w:rsidR="00E04DD1" w:rsidRPr="004C014C" w:rsidRDefault="00887AF8" w:rsidP="00843097">
            <w:pPr>
              <w:pStyle w:val="Heading1"/>
              <w:rPr>
                <w:sz w:val="24"/>
              </w:rPr>
            </w:pPr>
            <w:r>
              <w:rPr>
                <w:sz w:val="24"/>
              </w:rPr>
              <w:t>Subterranean Drainage</w:t>
            </w:r>
            <w:r w:rsidR="00E04DD1" w:rsidRPr="004C014C">
              <w:rPr>
                <w:sz w:val="24"/>
              </w:rPr>
              <w:t xml:space="preserve"> Guideline</w:t>
            </w:r>
            <w:r w:rsidR="007A35CA">
              <w:rPr>
                <w:sz w:val="24"/>
              </w:rPr>
              <w:t xml:space="preserve"> 2018</w:t>
            </w:r>
          </w:p>
        </w:tc>
      </w:tr>
      <w:tr w:rsidR="00E04DD1" w:rsidRPr="00841444" w:rsidTr="00E04DD1">
        <w:tc>
          <w:tcPr>
            <w:tcW w:w="4219" w:type="dxa"/>
          </w:tcPr>
          <w:p w:rsidR="00E04DD1" w:rsidRPr="00841444" w:rsidRDefault="00E04DD1" w:rsidP="00E04DD1">
            <w:pPr>
              <w:pStyle w:val="Heading1"/>
              <w:rPr>
                <w:sz w:val="24"/>
              </w:rPr>
            </w:pPr>
            <w:r w:rsidRPr="00841444">
              <w:rPr>
                <w:sz w:val="24"/>
              </w:rPr>
              <w:t>Guideline ref no:</w:t>
            </w:r>
          </w:p>
        </w:tc>
        <w:tc>
          <w:tcPr>
            <w:tcW w:w="5954" w:type="dxa"/>
          </w:tcPr>
          <w:p w:rsidR="00E04DD1" w:rsidRPr="005F4F6A" w:rsidRDefault="006628B5" w:rsidP="00643204">
            <w:pPr>
              <w:pStyle w:val="Heading1"/>
              <w:rPr>
                <w:b w:val="0"/>
                <w:bCs/>
                <w:sz w:val="24"/>
              </w:rPr>
            </w:pPr>
            <w:r>
              <w:rPr>
                <w:b w:val="0"/>
                <w:bCs/>
                <w:sz w:val="24"/>
              </w:rPr>
              <w:t>DOC/18/82030</w:t>
            </w:r>
          </w:p>
        </w:tc>
      </w:tr>
      <w:tr w:rsidR="00E04DD1" w:rsidRPr="00841444" w:rsidTr="00E04DD1">
        <w:tc>
          <w:tcPr>
            <w:tcW w:w="4219" w:type="dxa"/>
          </w:tcPr>
          <w:p w:rsidR="00E04DD1" w:rsidRPr="00841444" w:rsidRDefault="00E04DD1" w:rsidP="00E04DD1">
            <w:pPr>
              <w:pStyle w:val="Heading1"/>
              <w:rPr>
                <w:sz w:val="24"/>
              </w:rPr>
            </w:pPr>
            <w:r w:rsidRPr="00841444">
              <w:rPr>
                <w:sz w:val="24"/>
              </w:rPr>
              <w:t>Governing policy (ref no):</w:t>
            </w:r>
          </w:p>
        </w:tc>
        <w:tc>
          <w:tcPr>
            <w:tcW w:w="5954" w:type="dxa"/>
          </w:tcPr>
          <w:p w:rsidR="00E04DD1" w:rsidRPr="005F4F6A" w:rsidRDefault="001B630B" w:rsidP="00911A60">
            <w:pPr>
              <w:pStyle w:val="Heading1"/>
              <w:rPr>
                <w:b w:val="0"/>
                <w:bCs/>
                <w:sz w:val="24"/>
              </w:rPr>
            </w:pPr>
            <w:r>
              <w:rPr>
                <w:b w:val="0"/>
                <w:bCs/>
                <w:sz w:val="24"/>
              </w:rPr>
              <w:t>Works in Road Reserve Policy</w:t>
            </w:r>
            <w:r w:rsidR="001B0C40">
              <w:rPr>
                <w:b w:val="0"/>
                <w:bCs/>
                <w:sz w:val="24"/>
              </w:rPr>
              <w:t xml:space="preserve"> 2018</w:t>
            </w:r>
          </w:p>
        </w:tc>
      </w:tr>
      <w:tr w:rsidR="00E04DD1" w:rsidRPr="00841444" w:rsidTr="00E04DD1">
        <w:tc>
          <w:tcPr>
            <w:tcW w:w="4219" w:type="dxa"/>
          </w:tcPr>
          <w:p w:rsidR="00E04DD1" w:rsidRPr="00841444" w:rsidRDefault="00E04DD1" w:rsidP="00E04DD1">
            <w:pPr>
              <w:pStyle w:val="Heading1"/>
              <w:rPr>
                <w:sz w:val="24"/>
              </w:rPr>
            </w:pPr>
            <w:r w:rsidRPr="00841444">
              <w:rPr>
                <w:sz w:val="24"/>
              </w:rPr>
              <w:t>Guideline owner:</w:t>
            </w:r>
          </w:p>
        </w:tc>
        <w:tc>
          <w:tcPr>
            <w:tcW w:w="5954" w:type="dxa"/>
          </w:tcPr>
          <w:p w:rsidR="00E04DD1" w:rsidRPr="005F4F6A" w:rsidRDefault="004528CC" w:rsidP="00843097">
            <w:pPr>
              <w:pStyle w:val="Heading1"/>
              <w:rPr>
                <w:b w:val="0"/>
                <w:bCs/>
                <w:sz w:val="24"/>
              </w:rPr>
            </w:pPr>
            <w:r>
              <w:rPr>
                <w:b w:val="0"/>
                <w:bCs/>
                <w:sz w:val="24"/>
              </w:rPr>
              <w:t>Manager City Assets and Projects</w:t>
            </w:r>
          </w:p>
        </w:tc>
      </w:tr>
      <w:tr w:rsidR="00E04DD1" w:rsidRPr="00841444" w:rsidTr="00E04DD1">
        <w:tc>
          <w:tcPr>
            <w:tcW w:w="4219" w:type="dxa"/>
          </w:tcPr>
          <w:p w:rsidR="00E04DD1" w:rsidRPr="00841444" w:rsidRDefault="00E04DD1" w:rsidP="00E04DD1">
            <w:pPr>
              <w:pStyle w:val="Heading1"/>
              <w:rPr>
                <w:sz w:val="24"/>
              </w:rPr>
            </w:pPr>
            <w:r w:rsidRPr="00841444">
              <w:rPr>
                <w:sz w:val="24"/>
              </w:rPr>
              <w:t>Approved by:</w:t>
            </w:r>
          </w:p>
        </w:tc>
        <w:tc>
          <w:tcPr>
            <w:tcW w:w="5954" w:type="dxa"/>
          </w:tcPr>
          <w:p w:rsidR="00E04DD1" w:rsidRPr="005F4F6A" w:rsidRDefault="004528CC" w:rsidP="00843097">
            <w:pPr>
              <w:pStyle w:val="Heading1"/>
              <w:rPr>
                <w:b w:val="0"/>
                <w:bCs/>
                <w:sz w:val="24"/>
              </w:rPr>
            </w:pPr>
            <w:r>
              <w:rPr>
                <w:b w:val="0"/>
                <w:bCs/>
                <w:sz w:val="24"/>
              </w:rPr>
              <w:t>Manager City Assets and Projects</w:t>
            </w:r>
          </w:p>
        </w:tc>
      </w:tr>
      <w:tr w:rsidR="00E04DD1" w:rsidRPr="00841444" w:rsidTr="00E04DD1">
        <w:tc>
          <w:tcPr>
            <w:tcW w:w="4219" w:type="dxa"/>
          </w:tcPr>
          <w:p w:rsidR="00E04DD1" w:rsidRPr="00841444" w:rsidRDefault="00E04DD1" w:rsidP="00E04DD1">
            <w:pPr>
              <w:pStyle w:val="Heading1"/>
              <w:rPr>
                <w:sz w:val="24"/>
              </w:rPr>
            </w:pPr>
            <w:r w:rsidRPr="00841444">
              <w:rPr>
                <w:sz w:val="24"/>
              </w:rPr>
              <w:t>Date approved:</w:t>
            </w:r>
          </w:p>
        </w:tc>
        <w:tc>
          <w:tcPr>
            <w:tcW w:w="5954" w:type="dxa"/>
          </w:tcPr>
          <w:p w:rsidR="00E04DD1" w:rsidRPr="005F4F6A" w:rsidRDefault="00662C83" w:rsidP="00911A60">
            <w:pPr>
              <w:pStyle w:val="Heading1"/>
              <w:rPr>
                <w:b w:val="0"/>
                <w:bCs/>
                <w:sz w:val="24"/>
              </w:rPr>
            </w:pPr>
            <w:r>
              <w:rPr>
                <w:b w:val="0"/>
                <w:bCs/>
                <w:sz w:val="24"/>
              </w:rPr>
              <w:t>June</w:t>
            </w:r>
            <w:r w:rsidR="006628B5">
              <w:rPr>
                <w:b w:val="0"/>
                <w:bCs/>
                <w:sz w:val="24"/>
              </w:rPr>
              <w:t xml:space="preserve"> 2018</w:t>
            </w:r>
          </w:p>
        </w:tc>
      </w:tr>
      <w:tr w:rsidR="00E04DD1" w:rsidRPr="00841444" w:rsidTr="00E04DD1">
        <w:tc>
          <w:tcPr>
            <w:tcW w:w="4219" w:type="dxa"/>
          </w:tcPr>
          <w:p w:rsidR="00E04DD1" w:rsidRPr="00841444" w:rsidRDefault="00E04DD1" w:rsidP="00E04DD1">
            <w:pPr>
              <w:pStyle w:val="Heading1"/>
              <w:rPr>
                <w:sz w:val="24"/>
              </w:rPr>
            </w:pPr>
            <w:r w:rsidRPr="00841444">
              <w:rPr>
                <w:sz w:val="24"/>
              </w:rPr>
              <w:t>Scheduled review:</w:t>
            </w:r>
          </w:p>
        </w:tc>
        <w:tc>
          <w:tcPr>
            <w:tcW w:w="5954" w:type="dxa"/>
          </w:tcPr>
          <w:p w:rsidR="00E04DD1" w:rsidRPr="005F4F6A" w:rsidRDefault="006628B5" w:rsidP="002F74C9">
            <w:pPr>
              <w:pStyle w:val="Heading1"/>
              <w:rPr>
                <w:b w:val="0"/>
                <w:bCs/>
                <w:sz w:val="24"/>
              </w:rPr>
            </w:pPr>
            <w:r>
              <w:rPr>
                <w:b w:val="0"/>
                <w:bCs/>
                <w:sz w:val="24"/>
              </w:rPr>
              <w:t>May</w:t>
            </w:r>
            <w:r w:rsidR="0008427B">
              <w:rPr>
                <w:b w:val="0"/>
                <w:bCs/>
                <w:sz w:val="24"/>
              </w:rPr>
              <w:t xml:space="preserve"> 2022</w:t>
            </w:r>
          </w:p>
        </w:tc>
      </w:tr>
    </w:tbl>
    <w:p w:rsidR="00245E06" w:rsidRPr="00841444" w:rsidRDefault="00245E06" w:rsidP="0008427B">
      <w:pPr>
        <w:tabs>
          <w:tab w:val="left" w:pos="851"/>
        </w:tabs>
        <w:ind w:left="567" w:right="507"/>
        <w:rPr>
          <w:color w:val="000000"/>
        </w:rPr>
      </w:pPr>
    </w:p>
    <w:p w:rsidR="00245E06" w:rsidRPr="00841444" w:rsidRDefault="00245E06" w:rsidP="0008427B">
      <w:pPr>
        <w:pStyle w:val="SubHeading"/>
        <w:ind w:right="507"/>
        <w:sectPr w:rsidR="00245E06" w:rsidRPr="00841444">
          <w:headerReference w:type="default" r:id="rId8"/>
          <w:footerReference w:type="default" r:id="rId9"/>
          <w:headerReference w:type="first" r:id="rId10"/>
          <w:footerReference w:type="first" r:id="rId11"/>
          <w:pgSz w:w="11899" w:h="16838"/>
          <w:pgMar w:top="2948" w:right="335" w:bottom="1985" w:left="425" w:header="425" w:footer="1391" w:gutter="0"/>
          <w:cols w:space="708"/>
          <w:titlePg/>
        </w:sectPr>
      </w:pPr>
    </w:p>
    <w:p w:rsidR="001B0C40" w:rsidRPr="000524BB" w:rsidRDefault="001B0C40" w:rsidP="001B0C40">
      <w:pPr>
        <w:pStyle w:val="heading5"/>
        <w:numPr>
          <w:ilvl w:val="0"/>
          <w:numId w:val="2"/>
        </w:numPr>
        <w:tabs>
          <w:tab w:val="clear" w:pos="720"/>
          <w:tab w:val="left" w:pos="9072"/>
        </w:tabs>
        <w:spacing w:before="120"/>
        <w:ind w:left="426" w:right="141" w:hanging="426"/>
        <w:jc w:val="both"/>
        <w:rPr>
          <w:rFonts w:ascii="Arial" w:hAnsi="Arial" w:cs="Arial"/>
          <w:bCs/>
          <w:iCs/>
          <w:szCs w:val="24"/>
        </w:rPr>
      </w:pPr>
      <w:r w:rsidRPr="000524BB">
        <w:rPr>
          <w:rFonts w:ascii="Arial" w:hAnsi="Arial" w:cs="Arial"/>
          <w:bCs/>
          <w:iCs/>
          <w:szCs w:val="24"/>
        </w:rPr>
        <w:t>Guideline intent</w:t>
      </w:r>
    </w:p>
    <w:p w:rsidR="001B0C40" w:rsidRPr="000524BB" w:rsidRDefault="001B0C40" w:rsidP="001B0C40">
      <w:pPr>
        <w:tabs>
          <w:tab w:val="left" w:pos="9072"/>
        </w:tabs>
        <w:spacing w:before="120"/>
        <w:ind w:right="141"/>
        <w:jc w:val="both"/>
        <w:rPr>
          <w:rFonts w:cs="Arial"/>
        </w:rPr>
      </w:pPr>
      <w:r w:rsidRPr="000524BB">
        <w:rPr>
          <w:rFonts w:cs="Arial"/>
        </w:rPr>
        <w:t xml:space="preserve">This </w:t>
      </w:r>
      <w:r>
        <w:rPr>
          <w:rFonts w:cs="Arial"/>
        </w:rPr>
        <w:t xml:space="preserve">guideline </w:t>
      </w:r>
      <w:r w:rsidRPr="000524BB">
        <w:rPr>
          <w:rFonts w:cs="Arial"/>
        </w:rPr>
        <w:t>establishes guiding principles for managing the discharge or flow of subterranean water from any building or land to any Council owned or controlled land, footpath, municipal reserve, road or street, and where appropriate, the conditions on which Council will accept a subterranean water discharge or flow into the Council’s storm water drainage system.</w:t>
      </w:r>
    </w:p>
    <w:p w:rsidR="001B0C40" w:rsidRPr="000524BB" w:rsidRDefault="001B0C40" w:rsidP="001B0C40">
      <w:pPr>
        <w:tabs>
          <w:tab w:val="left" w:pos="9072"/>
        </w:tabs>
        <w:spacing w:before="120"/>
        <w:ind w:right="141"/>
        <w:jc w:val="both"/>
        <w:rPr>
          <w:rFonts w:cs="Arial"/>
        </w:rPr>
      </w:pPr>
      <w:r w:rsidRPr="000524BB">
        <w:rPr>
          <w:rFonts w:cs="Arial"/>
          <w:bCs/>
        </w:rPr>
        <w:t>The intent of this guideline</w:t>
      </w:r>
      <w:r w:rsidRPr="000524BB">
        <w:rPr>
          <w:rFonts w:cs="Arial"/>
          <w:b/>
        </w:rPr>
        <w:t xml:space="preserve"> </w:t>
      </w:r>
      <w:r w:rsidRPr="000524BB">
        <w:rPr>
          <w:rFonts w:cs="Arial"/>
        </w:rPr>
        <w:t>is to:</w:t>
      </w:r>
    </w:p>
    <w:p w:rsidR="001B0C40" w:rsidRPr="000524BB" w:rsidRDefault="001B0C40" w:rsidP="001B0C40">
      <w:pPr>
        <w:pStyle w:val="ListParagraph"/>
        <w:numPr>
          <w:ilvl w:val="0"/>
          <w:numId w:val="47"/>
        </w:numPr>
        <w:tabs>
          <w:tab w:val="left" w:pos="9072"/>
        </w:tabs>
        <w:spacing w:before="120" w:after="0"/>
        <w:ind w:right="141"/>
        <w:jc w:val="both"/>
        <w:rPr>
          <w:rFonts w:ascii="Arial" w:hAnsi="Arial" w:cs="Arial"/>
          <w:sz w:val="24"/>
          <w:szCs w:val="24"/>
        </w:rPr>
      </w:pPr>
      <w:r>
        <w:rPr>
          <w:rFonts w:ascii="Arial" w:hAnsi="Arial" w:cs="Arial"/>
          <w:sz w:val="24"/>
          <w:szCs w:val="24"/>
        </w:rPr>
        <w:t>R</w:t>
      </w:r>
      <w:r w:rsidRPr="000524BB">
        <w:rPr>
          <w:rFonts w:ascii="Arial" w:hAnsi="Arial" w:cs="Arial"/>
          <w:sz w:val="24"/>
          <w:szCs w:val="24"/>
        </w:rPr>
        <w:t>einforce that Council is under no legal obligation to accept any subterranean water discharge or flow into the Council’s storm water drainage system;</w:t>
      </w:r>
    </w:p>
    <w:p w:rsidR="001B0C40" w:rsidRPr="000524BB" w:rsidRDefault="001B0C40" w:rsidP="001B0C40">
      <w:pPr>
        <w:pStyle w:val="ListParagraph"/>
        <w:numPr>
          <w:ilvl w:val="0"/>
          <w:numId w:val="47"/>
        </w:numPr>
        <w:tabs>
          <w:tab w:val="left" w:pos="9072"/>
        </w:tabs>
        <w:spacing w:before="120" w:after="0"/>
        <w:ind w:right="141"/>
        <w:jc w:val="both"/>
        <w:rPr>
          <w:rFonts w:ascii="Arial" w:hAnsi="Arial" w:cs="Arial"/>
          <w:sz w:val="24"/>
          <w:szCs w:val="24"/>
        </w:rPr>
      </w:pPr>
      <w:r>
        <w:rPr>
          <w:rFonts w:ascii="Arial" w:hAnsi="Arial" w:cs="Arial"/>
          <w:sz w:val="24"/>
          <w:szCs w:val="24"/>
        </w:rPr>
        <w:t>S</w:t>
      </w:r>
      <w:r w:rsidRPr="000524BB">
        <w:rPr>
          <w:rFonts w:ascii="Arial" w:hAnsi="Arial" w:cs="Arial"/>
          <w:sz w:val="24"/>
          <w:szCs w:val="24"/>
        </w:rPr>
        <w:t>et out the circumstances, and the conditions, under which Council may accept any subterranean water discharge or flow into the Counci</w:t>
      </w:r>
      <w:r>
        <w:rPr>
          <w:rFonts w:ascii="Arial" w:hAnsi="Arial" w:cs="Arial"/>
          <w:sz w:val="24"/>
          <w:szCs w:val="24"/>
        </w:rPr>
        <w:t>l’s storm water drainage system; and</w:t>
      </w:r>
    </w:p>
    <w:p w:rsidR="001B0C40" w:rsidRDefault="001B0C40" w:rsidP="001B0C40">
      <w:pPr>
        <w:pStyle w:val="ListParagraph"/>
        <w:numPr>
          <w:ilvl w:val="0"/>
          <w:numId w:val="47"/>
        </w:numPr>
        <w:tabs>
          <w:tab w:val="left" w:pos="9072"/>
        </w:tabs>
        <w:spacing w:before="120" w:after="0"/>
        <w:ind w:right="141"/>
        <w:jc w:val="both"/>
        <w:rPr>
          <w:rFonts w:ascii="Arial" w:hAnsi="Arial" w:cs="Arial"/>
          <w:sz w:val="24"/>
          <w:szCs w:val="24"/>
        </w:rPr>
      </w:pPr>
      <w:r w:rsidRPr="000524BB">
        <w:rPr>
          <w:rFonts w:ascii="Arial" w:hAnsi="Arial" w:cs="Arial"/>
          <w:sz w:val="24"/>
          <w:szCs w:val="24"/>
        </w:rPr>
        <w:t xml:space="preserve">Reinforce that the </w:t>
      </w:r>
      <w:r>
        <w:rPr>
          <w:rFonts w:ascii="Arial" w:hAnsi="Arial" w:cs="Arial"/>
          <w:sz w:val="24"/>
          <w:szCs w:val="24"/>
        </w:rPr>
        <w:t>‘</w:t>
      </w:r>
      <w:r w:rsidRPr="000524BB">
        <w:rPr>
          <w:rFonts w:ascii="Arial" w:hAnsi="Arial" w:cs="Arial"/>
          <w:sz w:val="24"/>
          <w:szCs w:val="24"/>
        </w:rPr>
        <w:t>point of discharge</w:t>
      </w:r>
      <w:r>
        <w:rPr>
          <w:rFonts w:ascii="Arial" w:hAnsi="Arial" w:cs="Arial"/>
          <w:sz w:val="24"/>
          <w:szCs w:val="24"/>
        </w:rPr>
        <w:t>’</w:t>
      </w:r>
      <w:r w:rsidRPr="000524BB">
        <w:rPr>
          <w:rFonts w:ascii="Arial" w:hAnsi="Arial" w:cs="Arial"/>
          <w:sz w:val="24"/>
          <w:szCs w:val="24"/>
        </w:rPr>
        <w:t xml:space="preserve">, as determined by the Council in </w:t>
      </w:r>
      <w:r w:rsidR="004D0B81">
        <w:rPr>
          <w:rFonts w:ascii="Arial" w:hAnsi="Arial" w:cs="Arial"/>
          <w:sz w:val="24"/>
          <w:szCs w:val="24"/>
        </w:rPr>
        <w:t>accordance with regulation s133</w:t>
      </w:r>
      <w:r w:rsidRPr="000524BB">
        <w:rPr>
          <w:rFonts w:ascii="Arial" w:hAnsi="Arial" w:cs="Arial"/>
          <w:sz w:val="24"/>
          <w:szCs w:val="24"/>
        </w:rPr>
        <w:t xml:space="preserve"> of the Building Regulations </w:t>
      </w:r>
      <w:r w:rsidR="004D0B81">
        <w:rPr>
          <w:rFonts w:ascii="Arial" w:hAnsi="Arial" w:cs="Arial"/>
          <w:sz w:val="24"/>
          <w:szCs w:val="24"/>
        </w:rPr>
        <w:t>2018</w:t>
      </w:r>
      <w:r w:rsidRPr="000524BB">
        <w:rPr>
          <w:rFonts w:ascii="Arial" w:hAnsi="Arial" w:cs="Arial"/>
          <w:sz w:val="24"/>
          <w:szCs w:val="24"/>
        </w:rPr>
        <w:t xml:space="preserve">, is for the purposes of discharging storm water, as defined by this </w:t>
      </w:r>
      <w:r>
        <w:rPr>
          <w:rFonts w:ascii="Arial" w:hAnsi="Arial" w:cs="Arial"/>
          <w:sz w:val="24"/>
          <w:szCs w:val="24"/>
        </w:rPr>
        <w:t>guideline</w:t>
      </w:r>
      <w:r w:rsidRPr="000524BB">
        <w:rPr>
          <w:rFonts w:ascii="Arial" w:hAnsi="Arial" w:cs="Arial"/>
          <w:sz w:val="24"/>
          <w:szCs w:val="24"/>
        </w:rPr>
        <w:t>, from the specified point of discharge on a property to an appropriate external point of connection in the Counci</w:t>
      </w:r>
      <w:r>
        <w:rPr>
          <w:rFonts w:ascii="Arial" w:hAnsi="Arial" w:cs="Arial"/>
          <w:sz w:val="24"/>
          <w:szCs w:val="24"/>
        </w:rPr>
        <w:t>l’s storm water drainage system.</w:t>
      </w:r>
    </w:p>
    <w:p w:rsidR="001B0C40" w:rsidRPr="000524BB" w:rsidRDefault="001B0C40" w:rsidP="001B0C40">
      <w:pPr>
        <w:pStyle w:val="heading5"/>
        <w:numPr>
          <w:ilvl w:val="0"/>
          <w:numId w:val="2"/>
        </w:numPr>
        <w:tabs>
          <w:tab w:val="clear" w:pos="720"/>
          <w:tab w:val="left" w:pos="9072"/>
        </w:tabs>
        <w:spacing w:before="120"/>
        <w:ind w:left="426" w:right="141" w:hanging="426"/>
        <w:jc w:val="both"/>
        <w:rPr>
          <w:rFonts w:ascii="Arial" w:hAnsi="Arial" w:cs="Arial"/>
          <w:bCs/>
          <w:iCs/>
          <w:szCs w:val="24"/>
        </w:rPr>
      </w:pPr>
      <w:r w:rsidRPr="000524BB">
        <w:rPr>
          <w:rFonts w:ascii="Arial" w:hAnsi="Arial" w:cs="Arial"/>
          <w:bCs/>
          <w:iCs/>
          <w:szCs w:val="24"/>
        </w:rPr>
        <w:t>Scope</w:t>
      </w:r>
    </w:p>
    <w:p w:rsidR="001B0C40" w:rsidRDefault="001B0C40" w:rsidP="001B0C40">
      <w:pPr>
        <w:tabs>
          <w:tab w:val="left" w:pos="9072"/>
        </w:tabs>
        <w:spacing w:before="120"/>
        <w:ind w:right="141"/>
        <w:jc w:val="both"/>
        <w:rPr>
          <w:rFonts w:cs="Arial"/>
        </w:rPr>
      </w:pPr>
      <w:r w:rsidRPr="000524BB">
        <w:rPr>
          <w:rFonts w:cs="Arial"/>
        </w:rPr>
        <w:t xml:space="preserve">This </w:t>
      </w:r>
      <w:r>
        <w:rPr>
          <w:rFonts w:cs="Arial"/>
        </w:rPr>
        <w:t>guideline</w:t>
      </w:r>
      <w:r w:rsidRPr="000524BB">
        <w:rPr>
          <w:rFonts w:cs="Arial"/>
        </w:rPr>
        <w:t xml:space="preserve"> is applicable to all properties within the City of Bayside. While this </w:t>
      </w:r>
      <w:r>
        <w:rPr>
          <w:rFonts w:cs="Arial"/>
        </w:rPr>
        <w:t>guideline</w:t>
      </w:r>
      <w:r w:rsidRPr="000524BB">
        <w:rPr>
          <w:rFonts w:cs="Arial"/>
        </w:rPr>
        <w:t xml:space="preserve"> is largely applicable to privately-owned properties with basements and/or underground car parking or other below-ground structures, it also applies to properties owned by the Council and other Government Authorities. This </w:t>
      </w:r>
      <w:r>
        <w:rPr>
          <w:rFonts w:cs="Arial"/>
        </w:rPr>
        <w:t>guideline</w:t>
      </w:r>
      <w:r w:rsidRPr="000524BB">
        <w:rPr>
          <w:rFonts w:cs="Arial"/>
        </w:rPr>
        <w:t xml:space="preserve"> also applies to any other property for which there is a requirement to discharge any subterranean water from the site.</w:t>
      </w:r>
    </w:p>
    <w:p w:rsidR="001B0C40" w:rsidRDefault="001B0C40" w:rsidP="001B0C40">
      <w:pPr>
        <w:tabs>
          <w:tab w:val="left" w:pos="9072"/>
        </w:tabs>
        <w:spacing w:before="120"/>
        <w:ind w:right="141"/>
        <w:jc w:val="both"/>
        <w:rPr>
          <w:rFonts w:cs="Arial"/>
        </w:rPr>
      </w:pPr>
    </w:p>
    <w:p w:rsidR="001B0C40" w:rsidRDefault="001B0C40" w:rsidP="001B0C40">
      <w:pPr>
        <w:tabs>
          <w:tab w:val="left" w:pos="9072"/>
        </w:tabs>
        <w:spacing w:before="120"/>
        <w:ind w:right="141"/>
        <w:jc w:val="both"/>
        <w:rPr>
          <w:rFonts w:cs="Arial"/>
        </w:rPr>
      </w:pPr>
    </w:p>
    <w:p w:rsidR="001B0C40" w:rsidRPr="000524BB" w:rsidRDefault="001B0C40" w:rsidP="001B0C40">
      <w:pPr>
        <w:pStyle w:val="heading5"/>
        <w:numPr>
          <w:ilvl w:val="0"/>
          <w:numId w:val="2"/>
        </w:numPr>
        <w:tabs>
          <w:tab w:val="clear" w:pos="720"/>
          <w:tab w:val="left" w:pos="9639"/>
        </w:tabs>
        <w:spacing w:before="120"/>
        <w:ind w:left="425" w:right="141" w:hanging="425"/>
        <w:jc w:val="both"/>
        <w:rPr>
          <w:rFonts w:ascii="Arial" w:hAnsi="Arial" w:cs="Arial"/>
          <w:bCs/>
          <w:iCs/>
          <w:szCs w:val="24"/>
        </w:rPr>
      </w:pPr>
      <w:r w:rsidRPr="000524BB">
        <w:rPr>
          <w:rFonts w:ascii="Arial" w:hAnsi="Arial" w:cs="Arial"/>
          <w:bCs/>
          <w:iCs/>
          <w:szCs w:val="24"/>
        </w:rPr>
        <w:lastRenderedPageBreak/>
        <w:t>Procedure statement</w:t>
      </w:r>
    </w:p>
    <w:p w:rsidR="001B0C40" w:rsidRPr="000524BB" w:rsidRDefault="001B0C40" w:rsidP="001B0C40">
      <w:pPr>
        <w:tabs>
          <w:tab w:val="left" w:pos="9639"/>
        </w:tabs>
        <w:spacing w:before="120"/>
        <w:ind w:right="141" w:firstLine="425"/>
        <w:jc w:val="both"/>
        <w:rPr>
          <w:rFonts w:cs="Arial"/>
          <w:b/>
        </w:rPr>
      </w:pPr>
      <w:r w:rsidRPr="000524BB">
        <w:rPr>
          <w:rFonts w:cs="Arial"/>
          <w:b/>
        </w:rPr>
        <w:t>3.1 Councils Obligations</w:t>
      </w:r>
    </w:p>
    <w:p w:rsidR="001B0C40" w:rsidRPr="000524BB" w:rsidRDefault="001B0C40" w:rsidP="001B0C40">
      <w:pPr>
        <w:tabs>
          <w:tab w:val="left" w:pos="9639"/>
        </w:tabs>
        <w:spacing w:before="120"/>
        <w:ind w:left="425" w:right="141"/>
        <w:jc w:val="both"/>
        <w:rPr>
          <w:rFonts w:cs="Arial"/>
          <w:bCs/>
        </w:rPr>
      </w:pPr>
      <w:r w:rsidRPr="000524BB">
        <w:rPr>
          <w:rFonts w:cs="Arial"/>
          <w:bCs/>
        </w:rPr>
        <w:t xml:space="preserve">While the Council is under no legal obligation to accept any subterranean water discharge </w:t>
      </w:r>
      <w:r>
        <w:rPr>
          <w:rFonts w:cs="Arial"/>
          <w:bCs/>
        </w:rPr>
        <w:t>i</w:t>
      </w:r>
      <w:r w:rsidRPr="000524BB">
        <w:rPr>
          <w:rFonts w:cs="Arial"/>
          <w:bCs/>
        </w:rPr>
        <w:t>nto the Council’s storm water drainage system, in some instances this may be the only practical solution available to property owners.</w:t>
      </w:r>
    </w:p>
    <w:p w:rsidR="001B0C40" w:rsidRPr="000524BB" w:rsidRDefault="001B0C40" w:rsidP="001B0C40">
      <w:pPr>
        <w:tabs>
          <w:tab w:val="left" w:pos="9639"/>
        </w:tabs>
        <w:spacing w:before="120"/>
        <w:ind w:right="141" w:firstLine="425"/>
        <w:jc w:val="both"/>
        <w:rPr>
          <w:rFonts w:cs="Arial"/>
          <w:bCs/>
        </w:rPr>
      </w:pPr>
      <w:r w:rsidRPr="000524BB">
        <w:rPr>
          <w:rFonts w:cs="Arial"/>
          <w:bCs/>
        </w:rPr>
        <w:t>Council is also obligated to:</w:t>
      </w:r>
    </w:p>
    <w:p w:rsidR="001B0C40" w:rsidRPr="000524BB" w:rsidRDefault="001B0C40" w:rsidP="001B0C40">
      <w:pPr>
        <w:pStyle w:val="ListParagraph"/>
        <w:numPr>
          <w:ilvl w:val="0"/>
          <w:numId w:val="44"/>
        </w:numPr>
        <w:tabs>
          <w:tab w:val="left" w:pos="9639"/>
        </w:tabs>
        <w:spacing w:before="120" w:after="0"/>
        <w:ind w:right="141"/>
        <w:jc w:val="both"/>
        <w:rPr>
          <w:rFonts w:ascii="Arial" w:hAnsi="Arial" w:cs="Arial"/>
          <w:bCs/>
          <w:sz w:val="24"/>
          <w:szCs w:val="24"/>
        </w:rPr>
      </w:pPr>
      <w:r w:rsidRPr="000524BB">
        <w:rPr>
          <w:rFonts w:ascii="Arial" w:hAnsi="Arial" w:cs="Arial"/>
          <w:bCs/>
          <w:sz w:val="24"/>
          <w:szCs w:val="24"/>
        </w:rPr>
        <w:t xml:space="preserve">Adhere to all </w:t>
      </w:r>
      <w:r>
        <w:rPr>
          <w:rFonts w:ascii="Arial" w:hAnsi="Arial" w:cs="Arial"/>
          <w:bCs/>
          <w:sz w:val="24"/>
          <w:szCs w:val="24"/>
        </w:rPr>
        <w:t>relevant policy on this matter;</w:t>
      </w:r>
    </w:p>
    <w:p w:rsidR="001B0C40" w:rsidRPr="000524BB" w:rsidRDefault="001B0C40" w:rsidP="001B0C40">
      <w:pPr>
        <w:pStyle w:val="ListParagraph"/>
        <w:numPr>
          <w:ilvl w:val="0"/>
          <w:numId w:val="44"/>
        </w:numPr>
        <w:tabs>
          <w:tab w:val="left" w:pos="9639"/>
        </w:tabs>
        <w:spacing w:before="120" w:after="0"/>
        <w:ind w:right="141"/>
        <w:jc w:val="both"/>
        <w:rPr>
          <w:rFonts w:ascii="Arial" w:hAnsi="Arial" w:cs="Arial"/>
          <w:bCs/>
          <w:sz w:val="24"/>
          <w:szCs w:val="24"/>
        </w:rPr>
      </w:pPr>
      <w:r w:rsidRPr="000524BB">
        <w:rPr>
          <w:rFonts w:ascii="Arial" w:hAnsi="Arial" w:cs="Arial"/>
          <w:bCs/>
          <w:sz w:val="24"/>
          <w:szCs w:val="24"/>
        </w:rPr>
        <w:t>Communicate to the applicant their obligations with re</w:t>
      </w:r>
      <w:r>
        <w:rPr>
          <w:rFonts w:ascii="Arial" w:hAnsi="Arial" w:cs="Arial"/>
          <w:bCs/>
          <w:sz w:val="24"/>
          <w:szCs w:val="24"/>
        </w:rPr>
        <w:t>spect to subterranean discharge; and</w:t>
      </w:r>
    </w:p>
    <w:p w:rsidR="001B0C40" w:rsidRPr="000524BB" w:rsidRDefault="001B0C40" w:rsidP="001B0C40">
      <w:pPr>
        <w:pStyle w:val="ListParagraph"/>
        <w:numPr>
          <w:ilvl w:val="0"/>
          <w:numId w:val="44"/>
        </w:numPr>
        <w:tabs>
          <w:tab w:val="left" w:pos="9639"/>
        </w:tabs>
        <w:spacing w:before="120" w:after="0"/>
        <w:ind w:right="141"/>
        <w:jc w:val="both"/>
        <w:rPr>
          <w:rFonts w:ascii="Arial" w:hAnsi="Arial" w:cs="Arial"/>
          <w:bCs/>
          <w:sz w:val="24"/>
          <w:szCs w:val="24"/>
        </w:rPr>
      </w:pPr>
      <w:r w:rsidRPr="000524BB">
        <w:rPr>
          <w:rFonts w:ascii="Arial" w:hAnsi="Arial" w:cs="Arial"/>
          <w:bCs/>
          <w:sz w:val="24"/>
          <w:szCs w:val="24"/>
        </w:rPr>
        <w:t>Respond to applicant within the stated timeframes.</w:t>
      </w:r>
    </w:p>
    <w:p w:rsidR="001B0C40" w:rsidRPr="000524BB" w:rsidRDefault="001B0C40" w:rsidP="001B0C40">
      <w:pPr>
        <w:pStyle w:val="Heading2"/>
        <w:tabs>
          <w:tab w:val="left" w:pos="9639"/>
        </w:tabs>
        <w:spacing w:before="120"/>
        <w:ind w:left="426" w:right="141"/>
        <w:jc w:val="both"/>
        <w:rPr>
          <w:rFonts w:cs="Arial"/>
          <w:sz w:val="24"/>
        </w:rPr>
      </w:pPr>
      <w:r w:rsidRPr="000524BB">
        <w:rPr>
          <w:rFonts w:cs="Arial"/>
          <w:sz w:val="24"/>
        </w:rPr>
        <w:t>3.2 Owners obligation to consider alternatives</w:t>
      </w:r>
    </w:p>
    <w:p w:rsidR="001B0C40" w:rsidRPr="000524BB" w:rsidRDefault="001B0C40" w:rsidP="001B0C40">
      <w:pPr>
        <w:tabs>
          <w:tab w:val="left" w:pos="9639"/>
        </w:tabs>
        <w:spacing w:before="120"/>
        <w:ind w:left="567" w:right="141"/>
        <w:jc w:val="both"/>
        <w:rPr>
          <w:rFonts w:cs="Arial"/>
          <w:bCs/>
        </w:rPr>
      </w:pPr>
      <w:r w:rsidRPr="000524BB">
        <w:rPr>
          <w:rFonts w:cs="Arial"/>
          <w:bCs/>
        </w:rPr>
        <w:t xml:space="preserve">Property owners must consider alternatives to discharging subterranean water on an ongoing basis.  </w:t>
      </w:r>
    </w:p>
    <w:p w:rsidR="001B0C40" w:rsidRPr="000524BB" w:rsidRDefault="001B0C40" w:rsidP="001B0C40">
      <w:pPr>
        <w:pStyle w:val="ListParagraph"/>
        <w:numPr>
          <w:ilvl w:val="0"/>
          <w:numId w:val="46"/>
        </w:numPr>
        <w:tabs>
          <w:tab w:val="left" w:pos="9639"/>
        </w:tabs>
        <w:spacing w:before="120" w:after="0"/>
        <w:ind w:left="1134" w:right="141"/>
        <w:jc w:val="both"/>
        <w:rPr>
          <w:rFonts w:ascii="Arial" w:hAnsi="Arial" w:cs="Arial"/>
          <w:sz w:val="24"/>
          <w:szCs w:val="24"/>
        </w:rPr>
      </w:pPr>
      <w:r w:rsidRPr="000524BB">
        <w:rPr>
          <w:rFonts w:ascii="Arial" w:hAnsi="Arial" w:cs="Arial"/>
          <w:sz w:val="24"/>
          <w:szCs w:val="24"/>
        </w:rPr>
        <w:t>Design Considerations - Designing the basement taking the subterranean water level into account and constructing the basement to be water tight so that there would be no need to discharge any subterranean water</w:t>
      </w:r>
      <w:r>
        <w:rPr>
          <w:rFonts w:ascii="Arial" w:hAnsi="Arial" w:cs="Arial"/>
          <w:sz w:val="24"/>
          <w:szCs w:val="24"/>
        </w:rPr>
        <w:t>.</w:t>
      </w:r>
      <w:r w:rsidRPr="000524BB">
        <w:rPr>
          <w:rFonts w:ascii="Arial" w:hAnsi="Arial" w:cs="Arial"/>
          <w:sz w:val="24"/>
          <w:szCs w:val="24"/>
        </w:rPr>
        <w:t xml:space="preserve"> </w:t>
      </w:r>
      <w:r w:rsidR="0075204A">
        <w:rPr>
          <w:rFonts w:ascii="Arial" w:hAnsi="Arial" w:cs="Arial"/>
          <w:sz w:val="24"/>
          <w:szCs w:val="24"/>
        </w:rPr>
        <w:t>Certification by an appropriately qualified engineer is required;</w:t>
      </w:r>
    </w:p>
    <w:p w:rsidR="001B0C40" w:rsidRPr="000524BB" w:rsidRDefault="001B0C40" w:rsidP="001B0C40">
      <w:pPr>
        <w:pStyle w:val="ListParagraph"/>
        <w:numPr>
          <w:ilvl w:val="0"/>
          <w:numId w:val="45"/>
        </w:numPr>
        <w:tabs>
          <w:tab w:val="left" w:pos="9639"/>
        </w:tabs>
        <w:spacing w:before="120" w:after="0"/>
        <w:ind w:left="1134" w:right="141"/>
        <w:jc w:val="both"/>
        <w:rPr>
          <w:rFonts w:ascii="Arial" w:hAnsi="Arial" w:cs="Arial"/>
          <w:sz w:val="24"/>
          <w:szCs w:val="24"/>
        </w:rPr>
      </w:pPr>
      <w:r w:rsidRPr="000524BB">
        <w:rPr>
          <w:rFonts w:ascii="Arial" w:hAnsi="Arial" w:cs="Arial"/>
          <w:sz w:val="24"/>
          <w:szCs w:val="24"/>
        </w:rPr>
        <w:t>Storage Facility - Discharging the subterranean water into a water storage facility and using it on site.</w:t>
      </w:r>
    </w:p>
    <w:p w:rsidR="001B0C40" w:rsidRPr="000524BB" w:rsidRDefault="001B0C40" w:rsidP="001B0C40">
      <w:pPr>
        <w:tabs>
          <w:tab w:val="left" w:pos="9639"/>
        </w:tabs>
        <w:spacing w:before="120"/>
        <w:ind w:left="-142" w:right="141" w:firstLine="720"/>
        <w:jc w:val="both"/>
        <w:rPr>
          <w:rFonts w:cs="Arial"/>
          <w:b/>
        </w:rPr>
      </w:pPr>
      <w:r w:rsidRPr="000524BB">
        <w:rPr>
          <w:rFonts w:cs="Arial"/>
          <w:b/>
        </w:rPr>
        <w:t>3.3 Availability / Capacity of Public Underground Drainage System</w:t>
      </w:r>
    </w:p>
    <w:p w:rsidR="001B0C40" w:rsidRPr="000524BB" w:rsidRDefault="001B0C40" w:rsidP="001B0C40">
      <w:pPr>
        <w:tabs>
          <w:tab w:val="left" w:pos="9639"/>
        </w:tabs>
        <w:spacing w:before="120"/>
        <w:ind w:left="578" w:right="141"/>
        <w:jc w:val="both"/>
        <w:rPr>
          <w:rFonts w:cs="Arial"/>
          <w:bCs/>
        </w:rPr>
      </w:pPr>
      <w:r w:rsidRPr="000524BB">
        <w:rPr>
          <w:rFonts w:cs="Arial"/>
          <w:bCs/>
        </w:rPr>
        <w:t>Discharges of subterranean water to the Legal Point of Discharge will only be considered if the Legal Point of Discharge is connected to a public underground drainage system with adequate capacity to handle the additional flows</w:t>
      </w:r>
      <w:r>
        <w:rPr>
          <w:rFonts w:cs="Arial"/>
          <w:bCs/>
        </w:rPr>
        <w:t>.</w:t>
      </w:r>
    </w:p>
    <w:p w:rsidR="001B0C40" w:rsidRPr="000524BB" w:rsidRDefault="001B0C40" w:rsidP="001B0C40">
      <w:pPr>
        <w:tabs>
          <w:tab w:val="left" w:pos="9639"/>
        </w:tabs>
        <w:spacing w:before="120"/>
        <w:ind w:left="578" w:right="141"/>
        <w:jc w:val="both"/>
        <w:rPr>
          <w:rFonts w:cs="Arial"/>
          <w:bCs/>
        </w:rPr>
      </w:pPr>
      <w:r w:rsidRPr="000524BB">
        <w:rPr>
          <w:rFonts w:cs="Arial"/>
          <w:bCs/>
        </w:rPr>
        <w:t xml:space="preserve">Where a public underground drainage system of adequate capacity is not available within the property or at the front boundary of the property, the subterranean water must be discharged into the nearest public underground drainage system at the cost of the owner unless otherwise determined by Council. </w:t>
      </w:r>
    </w:p>
    <w:p w:rsidR="001B0C40" w:rsidRPr="000524BB" w:rsidRDefault="001B0C40" w:rsidP="001B0C40">
      <w:pPr>
        <w:tabs>
          <w:tab w:val="left" w:pos="9639"/>
        </w:tabs>
        <w:spacing w:before="120"/>
        <w:ind w:left="578" w:right="141"/>
        <w:jc w:val="both"/>
        <w:rPr>
          <w:rFonts w:cs="Arial"/>
          <w:bCs/>
        </w:rPr>
      </w:pPr>
      <w:r w:rsidRPr="000524BB">
        <w:rPr>
          <w:rFonts w:cs="Arial"/>
          <w:bCs/>
        </w:rPr>
        <w:t xml:space="preserve">Any drain between the Legal Point of Discharge and the public underground drainage system must be constructed to Council’s satisfaction and this drain will be vested in Council upon completion. </w:t>
      </w:r>
    </w:p>
    <w:p w:rsidR="001B0C40" w:rsidRPr="000524BB" w:rsidRDefault="001B0C40" w:rsidP="001B0C40">
      <w:pPr>
        <w:tabs>
          <w:tab w:val="left" w:pos="9639"/>
        </w:tabs>
        <w:spacing w:before="120"/>
        <w:ind w:right="141" w:firstLine="578"/>
        <w:jc w:val="both"/>
        <w:rPr>
          <w:rFonts w:cs="Arial"/>
          <w:bCs/>
        </w:rPr>
      </w:pPr>
      <w:r w:rsidRPr="000524BB">
        <w:rPr>
          <w:rFonts w:cs="Arial"/>
          <w:bCs/>
        </w:rPr>
        <w:t>Council will contribute to the cost of the drain if:</w:t>
      </w:r>
    </w:p>
    <w:p w:rsidR="001B0C40" w:rsidRPr="000524BB" w:rsidRDefault="001B0C40" w:rsidP="001B0C40">
      <w:pPr>
        <w:pStyle w:val="ListParagraph"/>
        <w:numPr>
          <w:ilvl w:val="0"/>
          <w:numId w:val="34"/>
        </w:numPr>
        <w:tabs>
          <w:tab w:val="left" w:pos="9639"/>
        </w:tabs>
        <w:spacing w:before="120" w:after="0"/>
        <w:ind w:left="1134" w:right="141"/>
        <w:jc w:val="both"/>
        <w:rPr>
          <w:rFonts w:ascii="Arial" w:hAnsi="Arial" w:cs="Arial"/>
          <w:bCs/>
          <w:sz w:val="24"/>
          <w:szCs w:val="24"/>
        </w:rPr>
      </w:pPr>
      <w:r w:rsidRPr="000524BB">
        <w:rPr>
          <w:rFonts w:ascii="Arial" w:hAnsi="Arial" w:cs="Arial"/>
          <w:bCs/>
          <w:sz w:val="24"/>
          <w:szCs w:val="24"/>
        </w:rPr>
        <w:t xml:space="preserve">The size of the drain determined by Council exceeds minimum standards </w:t>
      </w:r>
      <w:r>
        <w:rPr>
          <w:rFonts w:ascii="Arial" w:hAnsi="Arial" w:cs="Arial"/>
          <w:bCs/>
          <w:sz w:val="24"/>
          <w:szCs w:val="24"/>
        </w:rPr>
        <w:t>i.e. 225mm diameter;</w:t>
      </w:r>
      <w:r w:rsidRPr="000524BB">
        <w:rPr>
          <w:rFonts w:ascii="Arial" w:hAnsi="Arial" w:cs="Arial"/>
          <w:bCs/>
          <w:sz w:val="24"/>
          <w:szCs w:val="24"/>
        </w:rPr>
        <w:t xml:space="preserve"> or</w:t>
      </w:r>
    </w:p>
    <w:p w:rsidR="001B0C40" w:rsidRPr="000524BB" w:rsidRDefault="001B0C40" w:rsidP="001B0C40">
      <w:pPr>
        <w:pStyle w:val="ListParagraph"/>
        <w:numPr>
          <w:ilvl w:val="0"/>
          <w:numId w:val="34"/>
        </w:numPr>
        <w:tabs>
          <w:tab w:val="left" w:pos="9639"/>
        </w:tabs>
        <w:spacing w:before="120" w:after="0"/>
        <w:ind w:left="1134" w:right="141"/>
        <w:jc w:val="both"/>
        <w:rPr>
          <w:rFonts w:ascii="Arial" w:hAnsi="Arial" w:cs="Arial"/>
          <w:bCs/>
          <w:sz w:val="24"/>
          <w:szCs w:val="24"/>
        </w:rPr>
      </w:pPr>
      <w:r w:rsidRPr="000524BB">
        <w:rPr>
          <w:rFonts w:ascii="Arial" w:hAnsi="Arial" w:cs="Arial"/>
          <w:bCs/>
          <w:sz w:val="24"/>
          <w:szCs w:val="24"/>
        </w:rPr>
        <w:t>Other properties are connected to the new drain as part of its construction.</w:t>
      </w:r>
    </w:p>
    <w:p w:rsidR="001B0C40" w:rsidRPr="000524BB" w:rsidRDefault="001B0C40" w:rsidP="00F817AB">
      <w:pPr>
        <w:tabs>
          <w:tab w:val="left" w:pos="9639"/>
        </w:tabs>
        <w:spacing w:before="120"/>
        <w:ind w:left="-142" w:right="141" w:firstLine="720"/>
        <w:jc w:val="both"/>
        <w:rPr>
          <w:rFonts w:cs="Arial"/>
          <w:b/>
        </w:rPr>
      </w:pPr>
      <w:r w:rsidRPr="000524BB">
        <w:rPr>
          <w:rFonts w:cs="Arial"/>
          <w:b/>
        </w:rPr>
        <w:t>3.4 Legal Point of Discharge</w:t>
      </w:r>
    </w:p>
    <w:p w:rsidR="001B0C40" w:rsidRPr="000524BB" w:rsidRDefault="001B0C40" w:rsidP="00F817AB">
      <w:pPr>
        <w:tabs>
          <w:tab w:val="left" w:pos="9639"/>
        </w:tabs>
        <w:spacing w:before="120"/>
        <w:ind w:left="578" w:right="141"/>
        <w:jc w:val="both"/>
        <w:rPr>
          <w:rFonts w:cs="Arial"/>
          <w:bCs/>
        </w:rPr>
      </w:pPr>
      <w:r w:rsidRPr="000524BB">
        <w:rPr>
          <w:rFonts w:cs="Arial"/>
          <w:bCs/>
        </w:rPr>
        <w:t xml:space="preserve">A legal point of discharge must be obtained before a permit for Stormwater drainage works can be issued. </w:t>
      </w:r>
    </w:p>
    <w:p w:rsidR="001B0C40" w:rsidRPr="000524BB" w:rsidRDefault="001B0C40" w:rsidP="00F817AB">
      <w:pPr>
        <w:tabs>
          <w:tab w:val="left" w:pos="9639"/>
        </w:tabs>
        <w:spacing w:before="120"/>
        <w:ind w:left="578" w:right="141"/>
        <w:jc w:val="both"/>
        <w:rPr>
          <w:rFonts w:cs="Arial"/>
          <w:bCs/>
        </w:rPr>
      </w:pPr>
      <w:r w:rsidRPr="000524BB">
        <w:rPr>
          <w:rFonts w:cs="Arial"/>
          <w:bCs/>
        </w:rPr>
        <w:t>In the event that an applicant is seeking permission to discharge subterranean water into the public drainage system (the property owner is seeking a stormwater tapping (applicable for dual occupation / apartment buildings / commercial / industrial developments)) the o</w:t>
      </w:r>
      <w:r w:rsidR="0075204A">
        <w:rPr>
          <w:rFonts w:cs="Arial"/>
          <w:bCs/>
        </w:rPr>
        <w:t>wner must provide Council with the</w:t>
      </w:r>
      <w:r w:rsidRPr="000524BB">
        <w:rPr>
          <w:rFonts w:cs="Arial"/>
          <w:bCs/>
        </w:rPr>
        <w:t xml:space="preserve"> Legal Point of Discharge </w:t>
      </w:r>
      <w:r w:rsidR="0075204A">
        <w:rPr>
          <w:rFonts w:cs="Arial"/>
          <w:bCs/>
        </w:rPr>
        <w:lastRenderedPageBreak/>
        <w:t xml:space="preserve">notification </w:t>
      </w:r>
      <w:r w:rsidRPr="000524BB">
        <w:rPr>
          <w:rFonts w:cs="Arial"/>
          <w:bCs/>
        </w:rPr>
        <w:t xml:space="preserve">(“point of discharge” under the Building Regulations </w:t>
      </w:r>
      <w:r w:rsidR="004D0B81">
        <w:rPr>
          <w:rFonts w:cs="Arial"/>
          <w:bCs/>
        </w:rPr>
        <w:t>2018 (s133</w:t>
      </w:r>
      <w:r w:rsidRPr="000524BB">
        <w:rPr>
          <w:rFonts w:cs="Arial"/>
          <w:bCs/>
        </w:rPr>
        <w:t xml:space="preserve"> – Stormwater Drainage) as well as stamped / approved drainage design drawings.    </w:t>
      </w:r>
    </w:p>
    <w:p w:rsidR="001B0C40" w:rsidRPr="00F817AB" w:rsidRDefault="001B0C40" w:rsidP="00F817AB">
      <w:pPr>
        <w:tabs>
          <w:tab w:val="left" w:pos="9639"/>
        </w:tabs>
        <w:spacing w:before="120"/>
        <w:ind w:left="-142" w:right="141" w:firstLine="720"/>
        <w:jc w:val="both"/>
        <w:rPr>
          <w:rFonts w:cs="Arial"/>
          <w:b/>
        </w:rPr>
      </w:pPr>
      <w:r w:rsidRPr="00F817AB">
        <w:rPr>
          <w:rFonts w:cs="Arial"/>
          <w:b/>
        </w:rPr>
        <w:t>3.5 Consent to work in the road reserve</w:t>
      </w:r>
    </w:p>
    <w:p w:rsidR="001B0C40" w:rsidRPr="000524BB" w:rsidRDefault="001B0C40" w:rsidP="00F817AB">
      <w:pPr>
        <w:tabs>
          <w:tab w:val="left" w:pos="9639"/>
        </w:tabs>
        <w:spacing w:before="120"/>
        <w:ind w:left="578" w:right="141"/>
        <w:jc w:val="both"/>
        <w:rPr>
          <w:rFonts w:cs="Arial"/>
        </w:rPr>
      </w:pPr>
      <w:r w:rsidRPr="000524BB">
        <w:rPr>
          <w:rFonts w:cs="Arial"/>
        </w:rPr>
        <w:t xml:space="preserve">If a </w:t>
      </w:r>
      <w:r w:rsidRPr="00F817AB">
        <w:rPr>
          <w:rFonts w:cs="Arial"/>
          <w:bCs/>
        </w:rPr>
        <w:t>partial</w:t>
      </w:r>
      <w:r w:rsidRPr="000524BB">
        <w:rPr>
          <w:rFonts w:cs="Arial"/>
        </w:rPr>
        <w:t xml:space="preserve"> or full road closure is required as a result of the road opening works a road opening permit is required. </w:t>
      </w:r>
    </w:p>
    <w:p w:rsidR="001B0C40" w:rsidRPr="00F817AB" w:rsidRDefault="001B0C40" w:rsidP="00F817AB">
      <w:pPr>
        <w:tabs>
          <w:tab w:val="left" w:pos="9639"/>
        </w:tabs>
        <w:spacing w:before="120"/>
        <w:ind w:left="-142" w:right="141" w:firstLine="720"/>
        <w:jc w:val="both"/>
        <w:rPr>
          <w:rFonts w:cs="Arial"/>
          <w:b/>
        </w:rPr>
      </w:pPr>
      <w:r w:rsidRPr="00F817AB">
        <w:rPr>
          <w:rFonts w:cs="Arial"/>
          <w:b/>
        </w:rPr>
        <w:t>3.6 Water Quality</w:t>
      </w:r>
    </w:p>
    <w:p w:rsidR="001B0C40" w:rsidRPr="000524BB" w:rsidRDefault="001B0C40" w:rsidP="00F817AB">
      <w:pPr>
        <w:tabs>
          <w:tab w:val="left" w:pos="9639"/>
        </w:tabs>
        <w:spacing w:before="120"/>
        <w:ind w:left="578" w:right="141"/>
        <w:jc w:val="both"/>
        <w:rPr>
          <w:rFonts w:cs="Arial"/>
          <w:bCs/>
        </w:rPr>
      </w:pPr>
      <w:r w:rsidRPr="000524BB">
        <w:rPr>
          <w:rFonts w:cs="Arial"/>
          <w:bCs/>
          <w:lang w:val="en-US"/>
        </w:rPr>
        <w:t xml:space="preserve">In the event that the </w:t>
      </w:r>
      <w:r w:rsidRPr="000524BB">
        <w:rPr>
          <w:rFonts w:cs="Arial"/>
          <w:bCs/>
        </w:rPr>
        <w:t>owner demonstrates that the need to discharge subterranean water cannot practically be eliminated or be contained and used on site</w:t>
      </w:r>
      <w:r>
        <w:rPr>
          <w:rFonts w:cs="Arial"/>
          <w:bCs/>
        </w:rPr>
        <w:t>:</w:t>
      </w:r>
    </w:p>
    <w:p w:rsidR="001B0C40" w:rsidRPr="000524BB" w:rsidRDefault="001B0C40" w:rsidP="001B0C40">
      <w:pPr>
        <w:pStyle w:val="ListParagraph"/>
        <w:numPr>
          <w:ilvl w:val="0"/>
          <w:numId w:val="42"/>
        </w:numPr>
        <w:tabs>
          <w:tab w:val="left" w:pos="9639"/>
        </w:tabs>
        <w:spacing w:before="120" w:after="0"/>
        <w:ind w:right="141"/>
        <w:jc w:val="both"/>
        <w:rPr>
          <w:rFonts w:ascii="Arial" w:hAnsi="Arial" w:cs="Arial"/>
          <w:bCs/>
          <w:sz w:val="24"/>
          <w:szCs w:val="24"/>
        </w:rPr>
      </w:pPr>
      <w:r w:rsidRPr="000524BB">
        <w:rPr>
          <w:rFonts w:ascii="Arial" w:hAnsi="Arial" w:cs="Arial"/>
          <w:bCs/>
          <w:sz w:val="24"/>
          <w:szCs w:val="24"/>
        </w:rPr>
        <w:t>The owner must demonstrates that the existing or treated subterranean water meets Councils quality standard for discharge into the storm water</w:t>
      </w:r>
      <w:r>
        <w:rPr>
          <w:rFonts w:ascii="Arial" w:hAnsi="Arial" w:cs="Arial"/>
          <w:bCs/>
          <w:sz w:val="24"/>
          <w:szCs w:val="24"/>
        </w:rPr>
        <w:t xml:space="preserve"> drainage system; </w:t>
      </w:r>
    </w:p>
    <w:p w:rsidR="001B0C40" w:rsidRPr="000524BB" w:rsidRDefault="001B0C40" w:rsidP="001B0C40">
      <w:pPr>
        <w:pStyle w:val="ListParagraph"/>
        <w:numPr>
          <w:ilvl w:val="0"/>
          <w:numId w:val="42"/>
        </w:numPr>
        <w:tabs>
          <w:tab w:val="left" w:pos="9639"/>
        </w:tabs>
        <w:spacing w:before="120" w:after="0"/>
        <w:ind w:right="141"/>
        <w:jc w:val="both"/>
        <w:rPr>
          <w:rFonts w:ascii="Arial" w:hAnsi="Arial" w:cs="Arial"/>
          <w:bCs/>
          <w:sz w:val="24"/>
          <w:szCs w:val="24"/>
        </w:rPr>
      </w:pPr>
      <w:r w:rsidRPr="000524BB">
        <w:rPr>
          <w:rFonts w:ascii="Arial" w:hAnsi="Arial" w:cs="Arial"/>
          <w:bCs/>
          <w:sz w:val="24"/>
          <w:szCs w:val="24"/>
        </w:rPr>
        <w:t xml:space="preserve">On an ongoing basis, when requested by Council, the owner at their cost provides further evidence that quality </w:t>
      </w:r>
      <w:r>
        <w:rPr>
          <w:rFonts w:ascii="Arial" w:hAnsi="Arial" w:cs="Arial"/>
          <w:bCs/>
          <w:sz w:val="24"/>
          <w:szCs w:val="24"/>
        </w:rPr>
        <w:t>standards are being met; and</w:t>
      </w:r>
    </w:p>
    <w:p w:rsidR="001B0C40" w:rsidRPr="000524BB" w:rsidRDefault="001B0C40" w:rsidP="001B0C40">
      <w:pPr>
        <w:pStyle w:val="ListParagraph"/>
        <w:numPr>
          <w:ilvl w:val="0"/>
          <w:numId w:val="42"/>
        </w:numPr>
        <w:tabs>
          <w:tab w:val="left" w:pos="9639"/>
        </w:tabs>
        <w:spacing w:before="120" w:after="0"/>
        <w:ind w:right="141"/>
        <w:jc w:val="both"/>
        <w:rPr>
          <w:rFonts w:ascii="Arial" w:hAnsi="Arial" w:cs="Arial"/>
          <w:bCs/>
          <w:sz w:val="24"/>
          <w:szCs w:val="24"/>
        </w:rPr>
      </w:pPr>
      <w:r w:rsidRPr="000524BB">
        <w:rPr>
          <w:rFonts w:ascii="Arial" w:hAnsi="Arial" w:cs="Arial"/>
          <w:bCs/>
          <w:sz w:val="24"/>
          <w:szCs w:val="24"/>
        </w:rPr>
        <w:t>Where required, subterranean water is filtered to rainwater clarity or other standard approved by Council.</w:t>
      </w:r>
    </w:p>
    <w:p w:rsidR="001B0C40" w:rsidRPr="000524BB" w:rsidRDefault="00F817AB" w:rsidP="00F817AB">
      <w:pPr>
        <w:tabs>
          <w:tab w:val="left" w:pos="9639"/>
        </w:tabs>
        <w:spacing w:before="120"/>
        <w:ind w:left="-142" w:right="141" w:firstLine="720"/>
        <w:jc w:val="both"/>
        <w:rPr>
          <w:rFonts w:cs="Arial"/>
          <w:b/>
        </w:rPr>
      </w:pPr>
      <w:r>
        <w:rPr>
          <w:rFonts w:cs="Arial"/>
          <w:b/>
        </w:rPr>
        <w:t>3.7</w:t>
      </w:r>
      <w:r w:rsidR="001B0C40" w:rsidRPr="000524BB">
        <w:rPr>
          <w:rFonts w:cs="Arial"/>
          <w:b/>
        </w:rPr>
        <w:t xml:space="preserve"> Council Imposed Subterranean Water Provisions</w:t>
      </w:r>
    </w:p>
    <w:p w:rsidR="001B0C40" w:rsidRPr="000524BB" w:rsidRDefault="001B0C40" w:rsidP="00F817AB">
      <w:pPr>
        <w:tabs>
          <w:tab w:val="left" w:pos="9639"/>
        </w:tabs>
        <w:spacing w:before="120"/>
        <w:ind w:left="578" w:right="141"/>
        <w:jc w:val="both"/>
        <w:rPr>
          <w:rFonts w:cs="Arial"/>
          <w:bCs/>
        </w:rPr>
      </w:pPr>
      <w:r w:rsidRPr="000524BB">
        <w:rPr>
          <w:rFonts w:cs="Arial"/>
          <w:bCs/>
        </w:rPr>
        <w:t>Depending on the nature of any proposed development on a property Council may require engineering certification that subsurface water will not be discharged from the property if it appears that this may be a likely outcome and no application to discharge has been lodged.</w:t>
      </w:r>
    </w:p>
    <w:p w:rsidR="001B0C40" w:rsidRDefault="001B0C40" w:rsidP="00F817AB">
      <w:pPr>
        <w:tabs>
          <w:tab w:val="left" w:pos="9639"/>
        </w:tabs>
        <w:spacing w:before="120"/>
        <w:ind w:left="578" w:right="141"/>
        <w:jc w:val="both"/>
        <w:rPr>
          <w:rFonts w:cs="Arial"/>
          <w:bCs/>
        </w:rPr>
      </w:pPr>
      <w:r w:rsidRPr="000524BB">
        <w:rPr>
          <w:rFonts w:cs="Arial"/>
          <w:bCs/>
        </w:rPr>
        <w:t xml:space="preserve">Where it is identified that a nuisance is created by subterranean water discharging from an existing property into kerb and channel, require the property owner to amend their drainage system to discharge that water into the nearest public underground drainage system, at the cost of the owner unless otherwise determined by Council. </w:t>
      </w:r>
    </w:p>
    <w:p w:rsidR="001B0C40" w:rsidRPr="00D2683F" w:rsidRDefault="001B0C40" w:rsidP="00F817AB">
      <w:pPr>
        <w:tabs>
          <w:tab w:val="left" w:pos="9639"/>
        </w:tabs>
        <w:spacing w:before="120"/>
        <w:ind w:left="578" w:right="141"/>
        <w:jc w:val="both"/>
        <w:rPr>
          <w:rFonts w:cs="Arial"/>
          <w:bCs/>
        </w:rPr>
      </w:pPr>
      <w:r w:rsidRPr="00D2683F">
        <w:rPr>
          <w:rFonts w:cs="Arial"/>
          <w:bCs/>
        </w:rPr>
        <w:t>Council will contribute to the cost of the drain if:</w:t>
      </w:r>
    </w:p>
    <w:p w:rsidR="001B0C40" w:rsidRPr="00D2683F" w:rsidRDefault="001B0C40" w:rsidP="001B0C40">
      <w:pPr>
        <w:pStyle w:val="ListParagraph"/>
        <w:numPr>
          <w:ilvl w:val="0"/>
          <w:numId w:val="36"/>
        </w:numPr>
        <w:tabs>
          <w:tab w:val="left" w:pos="9639"/>
        </w:tabs>
        <w:spacing w:before="120" w:after="0"/>
        <w:ind w:right="141"/>
        <w:jc w:val="both"/>
        <w:rPr>
          <w:rFonts w:ascii="Arial" w:hAnsi="Arial" w:cs="Arial"/>
          <w:bCs/>
          <w:sz w:val="24"/>
          <w:szCs w:val="24"/>
        </w:rPr>
      </w:pPr>
      <w:r w:rsidRPr="00D2683F">
        <w:rPr>
          <w:rFonts w:ascii="Arial" w:hAnsi="Arial" w:cs="Arial"/>
          <w:bCs/>
          <w:sz w:val="24"/>
          <w:szCs w:val="24"/>
        </w:rPr>
        <w:t>The criteria listed in clause 3.3 for new approvals are met; or</w:t>
      </w:r>
    </w:p>
    <w:p w:rsidR="001B0C40" w:rsidRPr="00D2683F" w:rsidRDefault="001B0C40" w:rsidP="001B0C40">
      <w:pPr>
        <w:pStyle w:val="ListParagraph"/>
        <w:numPr>
          <w:ilvl w:val="0"/>
          <w:numId w:val="36"/>
        </w:numPr>
        <w:tabs>
          <w:tab w:val="left" w:pos="9639"/>
        </w:tabs>
        <w:spacing w:before="120" w:after="0"/>
        <w:ind w:right="141"/>
        <w:jc w:val="both"/>
        <w:rPr>
          <w:rFonts w:ascii="Arial" w:hAnsi="Arial" w:cs="Arial"/>
          <w:bCs/>
          <w:sz w:val="24"/>
          <w:szCs w:val="24"/>
        </w:rPr>
      </w:pPr>
      <w:r w:rsidRPr="00D2683F">
        <w:rPr>
          <w:rFonts w:ascii="Arial" w:hAnsi="Arial" w:cs="Arial"/>
          <w:bCs/>
          <w:sz w:val="24"/>
          <w:szCs w:val="24"/>
        </w:rPr>
        <w:t>Specific approval has previously been given by Council to discharge subterranean water into the kerb and channel.</w:t>
      </w:r>
    </w:p>
    <w:p w:rsidR="00F817AB" w:rsidRDefault="00F817AB" w:rsidP="00F817AB">
      <w:pPr>
        <w:pStyle w:val="heading5"/>
        <w:spacing w:before="120"/>
        <w:ind w:left="425" w:right="141"/>
        <w:rPr>
          <w:rFonts w:ascii="Arial" w:hAnsi="Arial" w:cs="Arial"/>
          <w:bCs/>
          <w:iCs/>
          <w:szCs w:val="24"/>
        </w:rPr>
      </w:pPr>
    </w:p>
    <w:p w:rsidR="001B0C40" w:rsidRDefault="001B0C40" w:rsidP="00F817AB">
      <w:pPr>
        <w:pStyle w:val="heading5"/>
        <w:numPr>
          <w:ilvl w:val="0"/>
          <w:numId w:val="2"/>
        </w:numPr>
        <w:tabs>
          <w:tab w:val="clear" w:pos="720"/>
        </w:tabs>
        <w:spacing w:before="120" w:after="240"/>
        <w:ind w:left="425" w:right="141" w:hanging="425"/>
        <w:rPr>
          <w:rFonts w:ascii="Arial" w:hAnsi="Arial" w:cs="Arial"/>
          <w:bCs/>
          <w:iCs/>
          <w:szCs w:val="24"/>
        </w:rPr>
      </w:pPr>
      <w:r w:rsidRPr="000524BB">
        <w:rPr>
          <w:rFonts w:ascii="Arial" w:hAnsi="Arial" w:cs="Arial"/>
          <w:bCs/>
          <w:iCs/>
          <w:szCs w:val="24"/>
        </w:rPr>
        <w:t>Related documents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8095"/>
      </w:tblGrid>
      <w:tr w:rsidR="001B0C40" w:rsidRPr="00D2683F" w:rsidTr="00265467">
        <w:tc>
          <w:tcPr>
            <w:tcW w:w="1985" w:type="dxa"/>
          </w:tcPr>
          <w:p w:rsidR="001B0C40" w:rsidRPr="00D2683F" w:rsidRDefault="001B0C40" w:rsidP="00265467">
            <w:pPr>
              <w:pStyle w:val="heading5"/>
              <w:spacing w:before="120"/>
              <w:ind w:left="34"/>
              <w:rPr>
                <w:rFonts w:ascii="Arial" w:hAnsi="Arial" w:cs="Arial"/>
                <w:b w:val="0"/>
                <w:bCs/>
                <w:kern w:val="32"/>
                <w:szCs w:val="24"/>
                <w:lang w:val="en-AU"/>
              </w:rPr>
            </w:pPr>
            <w:r w:rsidRPr="00D2683F">
              <w:rPr>
                <w:rFonts w:ascii="Arial" w:hAnsi="Arial" w:cs="Arial"/>
                <w:b w:val="0"/>
                <w:bCs/>
                <w:kern w:val="32"/>
                <w:szCs w:val="24"/>
                <w:lang w:val="en-AU"/>
              </w:rPr>
              <w:t>Policies</w:t>
            </w:r>
          </w:p>
        </w:tc>
        <w:tc>
          <w:tcPr>
            <w:tcW w:w="8095" w:type="dxa"/>
          </w:tcPr>
          <w:p w:rsidR="001B0C40" w:rsidRPr="00D2683F" w:rsidRDefault="00F817AB" w:rsidP="00F817AB">
            <w:pPr>
              <w:pStyle w:val="heading5"/>
              <w:spacing w:before="120"/>
              <w:ind w:left="34"/>
              <w:rPr>
                <w:rFonts w:ascii="Arial" w:hAnsi="Arial" w:cs="Arial"/>
                <w:b w:val="0"/>
                <w:bCs/>
                <w:kern w:val="32"/>
                <w:szCs w:val="24"/>
                <w:lang w:val="en-AU"/>
              </w:rPr>
            </w:pPr>
            <w:r w:rsidRPr="00D2683F">
              <w:rPr>
                <w:rFonts w:ascii="Arial" w:hAnsi="Arial" w:cs="Arial"/>
                <w:b w:val="0"/>
                <w:bCs/>
                <w:kern w:val="32"/>
                <w:szCs w:val="24"/>
                <w:lang w:val="en-AU"/>
              </w:rPr>
              <w:t>Works in Road Reserve Policy 2018</w:t>
            </w:r>
          </w:p>
        </w:tc>
      </w:tr>
      <w:tr w:rsidR="00F817AB" w:rsidRPr="00D2683F" w:rsidTr="00265467">
        <w:tc>
          <w:tcPr>
            <w:tcW w:w="1985" w:type="dxa"/>
          </w:tcPr>
          <w:p w:rsidR="00F817AB" w:rsidRPr="00D2683F" w:rsidRDefault="00F817AB" w:rsidP="00265467">
            <w:pPr>
              <w:pStyle w:val="heading5"/>
              <w:spacing w:before="120"/>
              <w:ind w:left="34"/>
              <w:rPr>
                <w:rFonts w:ascii="Arial" w:hAnsi="Arial" w:cs="Arial"/>
                <w:b w:val="0"/>
                <w:bCs/>
                <w:kern w:val="32"/>
                <w:szCs w:val="24"/>
                <w:lang w:val="en-AU"/>
              </w:rPr>
            </w:pPr>
            <w:r>
              <w:rPr>
                <w:rFonts w:ascii="Arial" w:hAnsi="Arial" w:cs="Arial"/>
                <w:b w:val="0"/>
                <w:bCs/>
                <w:kern w:val="32"/>
                <w:szCs w:val="24"/>
                <w:lang w:val="en-AU"/>
              </w:rPr>
              <w:t>Strategies</w:t>
            </w:r>
          </w:p>
        </w:tc>
        <w:tc>
          <w:tcPr>
            <w:tcW w:w="8095" w:type="dxa"/>
          </w:tcPr>
          <w:p w:rsidR="00F817AB" w:rsidRDefault="00F817AB" w:rsidP="00F817AB">
            <w:pPr>
              <w:pStyle w:val="heading5"/>
              <w:spacing w:before="120"/>
              <w:ind w:left="34"/>
              <w:rPr>
                <w:rFonts w:ascii="Arial" w:hAnsi="Arial" w:cs="Arial"/>
                <w:b w:val="0"/>
                <w:bCs/>
                <w:kern w:val="32"/>
                <w:szCs w:val="24"/>
                <w:lang w:val="en-AU"/>
              </w:rPr>
            </w:pPr>
            <w:r>
              <w:rPr>
                <w:rFonts w:ascii="Arial" w:hAnsi="Arial" w:cs="Arial"/>
                <w:b w:val="0"/>
                <w:bCs/>
                <w:kern w:val="32"/>
                <w:szCs w:val="24"/>
                <w:lang w:val="en-AU"/>
              </w:rPr>
              <w:t>Drainage Asset Management Plan 2015</w:t>
            </w:r>
          </w:p>
          <w:p w:rsidR="00F817AB" w:rsidRPr="00D2683F" w:rsidRDefault="00F817AB" w:rsidP="00F817AB">
            <w:pPr>
              <w:pStyle w:val="heading5"/>
              <w:spacing w:before="120"/>
              <w:ind w:left="34"/>
              <w:rPr>
                <w:rFonts w:ascii="Arial" w:hAnsi="Arial" w:cs="Arial"/>
                <w:b w:val="0"/>
                <w:bCs/>
                <w:kern w:val="32"/>
                <w:szCs w:val="24"/>
                <w:lang w:val="en-AU"/>
              </w:rPr>
            </w:pPr>
            <w:r>
              <w:rPr>
                <w:rFonts w:ascii="Arial" w:hAnsi="Arial" w:cs="Arial"/>
                <w:b w:val="0"/>
                <w:bCs/>
                <w:kern w:val="32"/>
                <w:szCs w:val="24"/>
                <w:lang w:val="en-AU"/>
              </w:rPr>
              <w:t>Stormwater Quality Management Plan 2001</w:t>
            </w:r>
          </w:p>
        </w:tc>
      </w:tr>
      <w:tr w:rsidR="001B0C40" w:rsidRPr="00D2683F" w:rsidTr="00265467">
        <w:tc>
          <w:tcPr>
            <w:tcW w:w="1985" w:type="dxa"/>
            <w:tcBorders>
              <w:top w:val="single" w:sz="4" w:space="0" w:color="auto"/>
              <w:left w:val="single" w:sz="4" w:space="0" w:color="auto"/>
              <w:bottom w:val="single" w:sz="4" w:space="0" w:color="auto"/>
              <w:right w:val="single" w:sz="4" w:space="0" w:color="auto"/>
            </w:tcBorders>
          </w:tcPr>
          <w:p w:rsidR="001B0C40" w:rsidRPr="00D2683F" w:rsidRDefault="001B0C40" w:rsidP="00F817AB">
            <w:pPr>
              <w:pStyle w:val="heading5"/>
              <w:spacing w:before="120"/>
              <w:ind w:left="34"/>
              <w:rPr>
                <w:rFonts w:ascii="Arial" w:hAnsi="Arial" w:cs="Arial"/>
                <w:b w:val="0"/>
                <w:bCs/>
                <w:kern w:val="32"/>
                <w:szCs w:val="24"/>
                <w:lang w:val="en-AU"/>
              </w:rPr>
            </w:pPr>
            <w:r w:rsidRPr="00D2683F">
              <w:rPr>
                <w:rFonts w:ascii="Arial" w:hAnsi="Arial" w:cs="Arial"/>
                <w:b w:val="0"/>
                <w:bCs/>
                <w:kern w:val="32"/>
                <w:szCs w:val="24"/>
                <w:lang w:val="en-AU"/>
              </w:rPr>
              <w:t>Procedures</w:t>
            </w:r>
          </w:p>
        </w:tc>
        <w:tc>
          <w:tcPr>
            <w:tcW w:w="8095" w:type="dxa"/>
            <w:tcBorders>
              <w:top w:val="single" w:sz="4" w:space="0" w:color="auto"/>
              <w:left w:val="single" w:sz="4" w:space="0" w:color="auto"/>
              <w:bottom w:val="single" w:sz="4" w:space="0" w:color="auto"/>
              <w:right w:val="single" w:sz="4" w:space="0" w:color="auto"/>
            </w:tcBorders>
          </w:tcPr>
          <w:p w:rsidR="00F817AB" w:rsidRPr="00D2683F" w:rsidRDefault="00F817AB" w:rsidP="00F817AB">
            <w:pPr>
              <w:pStyle w:val="heading5"/>
              <w:spacing w:before="120"/>
              <w:ind w:left="34"/>
              <w:rPr>
                <w:rFonts w:ascii="Arial" w:hAnsi="Arial" w:cs="Arial"/>
                <w:b w:val="0"/>
                <w:bCs/>
                <w:kern w:val="32"/>
                <w:szCs w:val="24"/>
                <w:lang w:val="en-AU"/>
              </w:rPr>
            </w:pPr>
            <w:r>
              <w:rPr>
                <w:rFonts w:ascii="Arial" w:hAnsi="Arial" w:cs="Arial"/>
                <w:b w:val="0"/>
                <w:bCs/>
                <w:kern w:val="32"/>
                <w:szCs w:val="24"/>
                <w:lang w:val="en-AU"/>
              </w:rPr>
              <w:t>Application for Legal Point of Discharge</w:t>
            </w:r>
          </w:p>
        </w:tc>
      </w:tr>
      <w:tr w:rsidR="00F817AB" w:rsidRPr="00D2683F" w:rsidTr="00265467">
        <w:tc>
          <w:tcPr>
            <w:tcW w:w="1985" w:type="dxa"/>
            <w:tcBorders>
              <w:top w:val="single" w:sz="4" w:space="0" w:color="auto"/>
              <w:left w:val="single" w:sz="4" w:space="0" w:color="auto"/>
              <w:bottom w:val="single" w:sz="4" w:space="0" w:color="auto"/>
              <w:right w:val="single" w:sz="4" w:space="0" w:color="auto"/>
            </w:tcBorders>
          </w:tcPr>
          <w:p w:rsidR="00F817AB" w:rsidRPr="00D2683F" w:rsidRDefault="00F817AB" w:rsidP="00265467">
            <w:pPr>
              <w:pStyle w:val="heading5"/>
              <w:spacing w:before="120"/>
              <w:ind w:left="34"/>
              <w:rPr>
                <w:rFonts w:ascii="Arial" w:hAnsi="Arial" w:cs="Arial"/>
                <w:b w:val="0"/>
                <w:bCs/>
                <w:kern w:val="32"/>
                <w:szCs w:val="24"/>
                <w:lang w:val="en-AU"/>
              </w:rPr>
            </w:pPr>
            <w:r>
              <w:rPr>
                <w:rFonts w:ascii="Arial" w:hAnsi="Arial" w:cs="Arial"/>
                <w:b w:val="0"/>
                <w:bCs/>
                <w:kern w:val="32"/>
                <w:szCs w:val="24"/>
                <w:lang w:val="en-AU"/>
              </w:rPr>
              <w:t>Guidelines</w:t>
            </w:r>
          </w:p>
        </w:tc>
        <w:tc>
          <w:tcPr>
            <w:tcW w:w="8095" w:type="dxa"/>
            <w:tcBorders>
              <w:top w:val="single" w:sz="4" w:space="0" w:color="auto"/>
              <w:left w:val="single" w:sz="4" w:space="0" w:color="auto"/>
              <w:bottom w:val="single" w:sz="4" w:space="0" w:color="auto"/>
              <w:right w:val="single" w:sz="4" w:space="0" w:color="auto"/>
            </w:tcBorders>
          </w:tcPr>
          <w:p w:rsidR="00F817AB" w:rsidRDefault="00F817AB" w:rsidP="00265467">
            <w:pPr>
              <w:pStyle w:val="heading5"/>
              <w:spacing w:before="120"/>
              <w:ind w:left="34"/>
              <w:rPr>
                <w:rFonts w:ascii="Arial" w:hAnsi="Arial" w:cs="Arial"/>
                <w:b w:val="0"/>
                <w:bCs/>
                <w:kern w:val="32"/>
                <w:szCs w:val="24"/>
                <w:lang w:val="en-AU"/>
              </w:rPr>
            </w:pPr>
            <w:r>
              <w:rPr>
                <w:rFonts w:ascii="Arial" w:hAnsi="Arial" w:cs="Arial"/>
                <w:b w:val="0"/>
                <w:bCs/>
                <w:kern w:val="32"/>
                <w:szCs w:val="24"/>
                <w:lang w:val="en-AU"/>
              </w:rPr>
              <w:t>Requirements for the Design of Council Drains</w:t>
            </w:r>
          </w:p>
        </w:tc>
      </w:tr>
    </w:tbl>
    <w:p w:rsidR="00F817AB" w:rsidRDefault="00F817AB" w:rsidP="00F817AB">
      <w:pPr>
        <w:pStyle w:val="heading5"/>
        <w:spacing w:before="120"/>
        <w:ind w:left="426" w:right="141"/>
        <w:rPr>
          <w:rFonts w:ascii="Arial" w:hAnsi="Arial" w:cs="Arial"/>
          <w:bCs/>
          <w:iCs/>
          <w:szCs w:val="24"/>
        </w:rPr>
      </w:pPr>
    </w:p>
    <w:p w:rsidR="0075204A" w:rsidRDefault="0075204A" w:rsidP="00F817AB">
      <w:pPr>
        <w:pStyle w:val="heading5"/>
        <w:spacing w:before="120"/>
        <w:ind w:left="426" w:right="141"/>
        <w:rPr>
          <w:rFonts w:ascii="Arial" w:hAnsi="Arial" w:cs="Arial"/>
          <w:bCs/>
          <w:iCs/>
          <w:szCs w:val="24"/>
        </w:rPr>
      </w:pPr>
    </w:p>
    <w:p w:rsidR="0075204A" w:rsidRDefault="0075204A" w:rsidP="00F817AB">
      <w:pPr>
        <w:pStyle w:val="heading5"/>
        <w:spacing w:before="120"/>
        <w:ind w:left="426" w:right="141"/>
        <w:rPr>
          <w:rFonts w:ascii="Arial" w:hAnsi="Arial" w:cs="Arial"/>
          <w:bCs/>
          <w:iCs/>
          <w:szCs w:val="24"/>
        </w:rPr>
      </w:pPr>
    </w:p>
    <w:p w:rsidR="00F817AB" w:rsidRDefault="00F817AB" w:rsidP="00F817AB">
      <w:pPr>
        <w:pStyle w:val="heading5"/>
        <w:spacing w:before="120"/>
        <w:ind w:left="426" w:right="141"/>
        <w:rPr>
          <w:rFonts w:ascii="Arial" w:hAnsi="Arial" w:cs="Arial"/>
          <w:bCs/>
          <w:iCs/>
          <w:szCs w:val="24"/>
        </w:rPr>
      </w:pPr>
    </w:p>
    <w:p w:rsidR="001B0C40" w:rsidRPr="000524BB" w:rsidRDefault="001B0C40" w:rsidP="001B0C40">
      <w:pPr>
        <w:pStyle w:val="heading5"/>
        <w:numPr>
          <w:ilvl w:val="0"/>
          <w:numId w:val="2"/>
        </w:numPr>
        <w:tabs>
          <w:tab w:val="clear" w:pos="720"/>
        </w:tabs>
        <w:spacing w:before="120"/>
        <w:ind w:left="426" w:right="141" w:hanging="426"/>
        <w:rPr>
          <w:rFonts w:ascii="Arial" w:hAnsi="Arial" w:cs="Arial"/>
          <w:bCs/>
          <w:iCs/>
          <w:szCs w:val="24"/>
        </w:rPr>
      </w:pPr>
      <w:r w:rsidRPr="000524BB">
        <w:rPr>
          <w:rFonts w:ascii="Arial" w:hAnsi="Arial" w:cs="Arial"/>
          <w:bCs/>
          <w:iCs/>
          <w:szCs w:val="24"/>
        </w:rPr>
        <w:lastRenderedPageBreak/>
        <w:t>Definitions &amp; Abbreviations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6819"/>
      </w:tblGrid>
      <w:tr w:rsidR="001B0C40" w:rsidRPr="000524BB" w:rsidTr="00265467">
        <w:tc>
          <w:tcPr>
            <w:tcW w:w="3261" w:type="dxa"/>
          </w:tcPr>
          <w:p w:rsidR="001B0C40" w:rsidRPr="000524BB" w:rsidRDefault="001B0C40" w:rsidP="00265467">
            <w:pPr>
              <w:pStyle w:val="Heading1"/>
              <w:ind w:right="141"/>
              <w:rPr>
                <w:rFonts w:cs="Arial"/>
                <w:sz w:val="24"/>
                <w:szCs w:val="24"/>
              </w:rPr>
            </w:pPr>
            <w:r w:rsidRPr="000524BB">
              <w:rPr>
                <w:rFonts w:cs="Arial"/>
                <w:sz w:val="24"/>
                <w:szCs w:val="24"/>
              </w:rPr>
              <w:t>Term</w:t>
            </w:r>
          </w:p>
        </w:tc>
        <w:tc>
          <w:tcPr>
            <w:tcW w:w="6819" w:type="dxa"/>
          </w:tcPr>
          <w:p w:rsidR="001B0C40" w:rsidRPr="000524BB" w:rsidRDefault="001B0C40" w:rsidP="00265467">
            <w:pPr>
              <w:pStyle w:val="Heading1"/>
              <w:ind w:right="141"/>
              <w:rPr>
                <w:rFonts w:cs="Arial"/>
                <w:sz w:val="24"/>
                <w:szCs w:val="24"/>
              </w:rPr>
            </w:pPr>
            <w:r w:rsidRPr="000524BB">
              <w:rPr>
                <w:rFonts w:cs="Arial"/>
                <w:sz w:val="24"/>
                <w:szCs w:val="24"/>
              </w:rPr>
              <w:t>Meaning</w:t>
            </w:r>
          </w:p>
        </w:tc>
      </w:tr>
      <w:tr w:rsidR="001B0C40" w:rsidRPr="000524BB" w:rsidTr="00265467">
        <w:tc>
          <w:tcPr>
            <w:tcW w:w="3261" w:type="dxa"/>
          </w:tcPr>
          <w:p w:rsidR="001B0C40" w:rsidRPr="000524BB" w:rsidRDefault="001B0C40" w:rsidP="00265467">
            <w:pPr>
              <w:pStyle w:val="Heading1"/>
              <w:ind w:right="141"/>
              <w:rPr>
                <w:rFonts w:cs="Arial"/>
                <w:b w:val="0"/>
                <w:bCs/>
                <w:sz w:val="24"/>
                <w:szCs w:val="24"/>
              </w:rPr>
            </w:pPr>
            <w:r w:rsidRPr="000524BB">
              <w:rPr>
                <w:rFonts w:cs="Arial"/>
                <w:b w:val="0"/>
                <w:bCs/>
                <w:sz w:val="24"/>
                <w:szCs w:val="24"/>
              </w:rPr>
              <w:t>Legal Point of Discharge</w:t>
            </w:r>
          </w:p>
        </w:tc>
        <w:tc>
          <w:tcPr>
            <w:tcW w:w="6819" w:type="dxa"/>
            <w:vAlign w:val="center"/>
          </w:tcPr>
          <w:p w:rsidR="001B0C40" w:rsidRPr="000524BB" w:rsidRDefault="001B0C40" w:rsidP="00265467">
            <w:pPr>
              <w:pStyle w:val="Heading1"/>
              <w:ind w:right="141"/>
              <w:jc w:val="both"/>
              <w:rPr>
                <w:rFonts w:cs="Arial"/>
                <w:b w:val="0"/>
                <w:bCs/>
                <w:sz w:val="24"/>
                <w:szCs w:val="24"/>
              </w:rPr>
            </w:pPr>
            <w:r w:rsidRPr="000524BB">
              <w:rPr>
                <w:rFonts w:cs="Arial"/>
                <w:b w:val="0"/>
                <w:bCs/>
                <w:sz w:val="24"/>
                <w:szCs w:val="24"/>
              </w:rPr>
              <w:t xml:space="preserve">A point specified by Council where stormwater from a property must be discharged. This point is usually Council’s stormwater drain, where available, or street kerb and channel. </w:t>
            </w:r>
          </w:p>
        </w:tc>
      </w:tr>
      <w:tr w:rsidR="001B0C40" w:rsidRPr="000524BB" w:rsidTr="00265467">
        <w:tc>
          <w:tcPr>
            <w:tcW w:w="3261" w:type="dxa"/>
          </w:tcPr>
          <w:p w:rsidR="001B0C40" w:rsidRPr="000524BB" w:rsidRDefault="001B0C40" w:rsidP="00265467">
            <w:pPr>
              <w:pStyle w:val="Heading1"/>
              <w:ind w:right="141"/>
              <w:rPr>
                <w:rFonts w:cs="Arial"/>
                <w:b w:val="0"/>
                <w:bCs/>
                <w:sz w:val="24"/>
                <w:szCs w:val="24"/>
              </w:rPr>
            </w:pPr>
            <w:r w:rsidRPr="000524BB">
              <w:rPr>
                <w:rFonts w:cs="Arial"/>
                <w:b w:val="0"/>
                <w:bCs/>
                <w:sz w:val="24"/>
                <w:szCs w:val="24"/>
              </w:rPr>
              <w:t>Stormwater Tapping</w:t>
            </w:r>
          </w:p>
        </w:tc>
        <w:tc>
          <w:tcPr>
            <w:tcW w:w="6819" w:type="dxa"/>
            <w:vAlign w:val="center"/>
          </w:tcPr>
          <w:p w:rsidR="001B0C40" w:rsidRPr="000524BB" w:rsidRDefault="001B0C40" w:rsidP="00265467">
            <w:pPr>
              <w:pStyle w:val="Heading1"/>
              <w:ind w:right="141"/>
              <w:jc w:val="both"/>
              <w:rPr>
                <w:rFonts w:cs="Arial"/>
                <w:b w:val="0"/>
                <w:bCs/>
                <w:sz w:val="24"/>
                <w:szCs w:val="24"/>
              </w:rPr>
            </w:pPr>
            <w:r w:rsidRPr="000524BB">
              <w:rPr>
                <w:rFonts w:cs="Arial"/>
                <w:b w:val="0"/>
                <w:bCs/>
                <w:sz w:val="24"/>
                <w:szCs w:val="24"/>
              </w:rPr>
              <w:t xml:space="preserve">Physical connection to kerb &amp; channel or Council’s drains. </w:t>
            </w:r>
          </w:p>
        </w:tc>
      </w:tr>
      <w:tr w:rsidR="001B0C40" w:rsidRPr="000524BB" w:rsidTr="00265467">
        <w:tc>
          <w:tcPr>
            <w:tcW w:w="3261" w:type="dxa"/>
          </w:tcPr>
          <w:p w:rsidR="001B0C40" w:rsidRPr="000524BB" w:rsidRDefault="001B0C40" w:rsidP="00265467">
            <w:pPr>
              <w:pStyle w:val="Heading1"/>
              <w:ind w:right="141"/>
              <w:rPr>
                <w:rFonts w:cs="Arial"/>
                <w:b w:val="0"/>
                <w:bCs/>
                <w:sz w:val="24"/>
                <w:szCs w:val="24"/>
              </w:rPr>
            </w:pPr>
            <w:r w:rsidRPr="000524BB">
              <w:rPr>
                <w:rFonts w:cs="Arial"/>
                <w:b w:val="0"/>
                <w:bCs/>
                <w:sz w:val="24"/>
                <w:szCs w:val="24"/>
              </w:rPr>
              <w:t xml:space="preserve">Stormwater </w:t>
            </w:r>
          </w:p>
          <w:p w:rsidR="001B0C40" w:rsidRPr="000524BB" w:rsidRDefault="001B0C40" w:rsidP="00265467">
            <w:pPr>
              <w:spacing w:before="120"/>
              <w:ind w:right="141"/>
              <w:rPr>
                <w:rFonts w:cs="Arial"/>
              </w:rPr>
            </w:pPr>
          </w:p>
        </w:tc>
        <w:tc>
          <w:tcPr>
            <w:tcW w:w="6819" w:type="dxa"/>
            <w:vAlign w:val="center"/>
          </w:tcPr>
          <w:p w:rsidR="001B0C40" w:rsidRPr="000524BB" w:rsidRDefault="001B0C40" w:rsidP="00265467">
            <w:pPr>
              <w:spacing w:before="120"/>
              <w:ind w:right="141"/>
              <w:jc w:val="both"/>
              <w:rPr>
                <w:rFonts w:cs="Arial"/>
                <w:b/>
                <w:bCs/>
              </w:rPr>
            </w:pPr>
            <w:r w:rsidRPr="000524BB">
              <w:rPr>
                <w:rFonts w:cs="Arial"/>
              </w:rPr>
              <w:t>Naturally occurring water that results from rainfall falling on or around the surface of a site, or water flowing onto the surface of a site, but does not include any rainfall which does not form or become surface run-off from a site, and which has otherwise soaked, seeped or percolated into the subsurface of the ground or the soil of a site.</w:t>
            </w:r>
          </w:p>
        </w:tc>
      </w:tr>
      <w:tr w:rsidR="001B0C40" w:rsidRPr="000524BB" w:rsidTr="00265467">
        <w:tc>
          <w:tcPr>
            <w:tcW w:w="3261" w:type="dxa"/>
          </w:tcPr>
          <w:p w:rsidR="001B0C40" w:rsidRPr="000524BB" w:rsidRDefault="001B0C40" w:rsidP="00265467">
            <w:pPr>
              <w:pStyle w:val="Heading1"/>
              <w:ind w:right="141"/>
              <w:rPr>
                <w:rFonts w:cs="Arial"/>
                <w:b w:val="0"/>
                <w:bCs/>
                <w:sz w:val="24"/>
                <w:szCs w:val="24"/>
              </w:rPr>
            </w:pPr>
            <w:r w:rsidRPr="000524BB">
              <w:rPr>
                <w:rFonts w:cs="Arial"/>
                <w:b w:val="0"/>
                <w:bCs/>
                <w:sz w:val="24"/>
                <w:szCs w:val="24"/>
              </w:rPr>
              <w:t>Road Opening</w:t>
            </w:r>
          </w:p>
        </w:tc>
        <w:tc>
          <w:tcPr>
            <w:tcW w:w="6819" w:type="dxa"/>
            <w:vAlign w:val="center"/>
          </w:tcPr>
          <w:p w:rsidR="001B0C40" w:rsidRPr="000524BB" w:rsidRDefault="001B0C40" w:rsidP="00265467">
            <w:pPr>
              <w:spacing w:before="120"/>
              <w:ind w:right="141"/>
              <w:jc w:val="both"/>
              <w:rPr>
                <w:rFonts w:cs="Arial"/>
              </w:rPr>
            </w:pPr>
            <w:r w:rsidRPr="000524BB">
              <w:rPr>
                <w:rFonts w:cs="Arial"/>
              </w:rPr>
              <w:t xml:space="preserve">Works involve </w:t>
            </w:r>
            <w:r w:rsidRPr="000524BB">
              <w:rPr>
                <w:rFonts w:cs="Arial"/>
                <w:color w:val="313140"/>
                <w:shd w:val="clear" w:color="auto" w:fill="FFFFFF"/>
              </w:rPr>
              <w:t>opening up the footpath, nature</w:t>
            </w:r>
            <w:r w:rsidR="0075204A">
              <w:rPr>
                <w:rFonts w:cs="Arial"/>
                <w:color w:val="313140"/>
                <w:shd w:val="clear" w:color="auto" w:fill="FFFFFF"/>
              </w:rPr>
              <w:t xml:space="preserve"> </w:t>
            </w:r>
            <w:r w:rsidRPr="000524BB">
              <w:rPr>
                <w:rFonts w:cs="Arial"/>
                <w:color w:val="313140"/>
                <w:shd w:val="clear" w:color="auto" w:fill="FFFFFF"/>
              </w:rPr>
              <w:t>strip or kerb and channel to connect various services in the street or easement.</w:t>
            </w:r>
          </w:p>
        </w:tc>
      </w:tr>
      <w:tr w:rsidR="001B0C40" w:rsidRPr="000524BB" w:rsidTr="00265467">
        <w:tc>
          <w:tcPr>
            <w:tcW w:w="3261" w:type="dxa"/>
          </w:tcPr>
          <w:p w:rsidR="001B0C40" w:rsidRPr="000524BB" w:rsidRDefault="001B0C40" w:rsidP="00265467">
            <w:pPr>
              <w:pStyle w:val="Heading1"/>
              <w:ind w:right="141"/>
              <w:rPr>
                <w:rFonts w:cs="Arial"/>
                <w:b w:val="0"/>
                <w:bCs/>
                <w:sz w:val="24"/>
                <w:szCs w:val="24"/>
              </w:rPr>
            </w:pPr>
            <w:r w:rsidRPr="000524BB">
              <w:rPr>
                <w:rFonts w:cs="Arial"/>
                <w:b w:val="0"/>
                <w:bCs/>
                <w:sz w:val="24"/>
                <w:szCs w:val="24"/>
              </w:rPr>
              <w:t>Drainage Drawings</w:t>
            </w:r>
          </w:p>
        </w:tc>
        <w:tc>
          <w:tcPr>
            <w:tcW w:w="6819" w:type="dxa"/>
            <w:vAlign w:val="center"/>
          </w:tcPr>
          <w:p w:rsidR="001B0C40" w:rsidRPr="000524BB" w:rsidRDefault="001B0C40" w:rsidP="00265467">
            <w:pPr>
              <w:spacing w:before="120"/>
              <w:ind w:right="141"/>
              <w:jc w:val="both"/>
              <w:rPr>
                <w:rFonts w:cs="Arial"/>
              </w:rPr>
            </w:pPr>
            <w:r w:rsidRPr="000524BB">
              <w:rPr>
                <w:rFonts w:cs="Arial"/>
                <w:color w:val="313140"/>
                <w:shd w:val="clear" w:color="auto" w:fill="FFFFFF"/>
              </w:rPr>
              <w:t>Plans outlining the private drainage system.</w:t>
            </w:r>
          </w:p>
        </w:tc>
      </w:tr>
      <w:tr w:rsidR="001B0C40" w:rsidRPr="000524BB" w:rsidTr="00265467">
        <w:trPr>
          <w:trHeight w:val="416"/>
        </w:trPr>
        <w:tc>
          <w:tcPr>
            <w:tcW w:w="3261" w:type="dxa"/>
          </w:tcPr>
          <w:p w:rsidR="001B0C40" w:rsidRPr="000524BB" w:rsidRDefault="001B0C40" w:rsidP="00265467">
            <w:pPr>
              <w:spacing w:before="120"/>
              <w:ind w:right="141"/>
              <w:rPr>
                <w:rFonts w:cs="Arial"/>
              </w:rPr>
            </w:pPr>
            <w:r w:rsidRPr="000524BB">
              <w:rPr>
                <w:rFonts w:cs="Arial"/>
              </w:rPr>
              <w:t>Subterranean discharge</w:t>
            </w:r>
          </w:p>
        </w:tc>
        <w:tc>
          <w:tcPr>
            <w:tcW w:w="6819" w:type="dxa"/>
            <w:vAlign w:val="center"/>
          </w:tcPr>
          <w:p w:rsidR="001B0C40" w:rsidRPr="000524BB" w:rsidRDefault="001B0C40" w:rsidP="00265467">
            <w:pPr>
              <w:spacing w:before="120"/>
              <w:ind w:right="141"/>
              <w:jc w:val="both"/>
              <w:rPr>
                <w:rFonts w:cs="Arial"/>
              </w:rPr>
            </w:pPr>
            <w:r w:rsidRPr="000524BB">
              <w:rPr>
                <w:rFonts w:cs="Arial"/>
              </w:rPr>
              <w:t>The discharge or flow of pumped water originating from sub-surface agricultural drainage systems and the discharge or flow of pumped water associated with the construction of basements and/or underground car parking or other below-ground structures.</w:t>
            </w:r>
          </w:p>
          <w:p w:rsidR="001B0C40" w:rsidRPr="000524BB" w:rsidRDefault="001B0C40" w:rsidP="00265467">
            <w:pPr>
              <w:spacing w:before="120"/>
              <w:ind w:right="141"/>
              <w:jc w:val="both"/>
              <w:rPr>
                <w:rFonts w:cs="Arial"/>
              </w:rPr>
            </w:pPr>
            <w:r w:rsidRPr="000524BB">
              <w:rPr>
                <w:rFonts w:cs="Arial"/>
              </w:rPr>
              <w:t>Any water (including any matter dissolved or suspended in any such water) which –</w:t>
            </w:r>
          </w:p>
          <w:p w:rsidR="001B0C40" w:rsidRPr="000524BB" w:rsidRDefault="001B0C40" w:rsidP="00265467">
            <w:pPr>
              <w:spacing w:before="120"/>
              <w:ind w:right="141"/>
              <w:jc w:val="both"/>
              <w:rPr>
                <w:rFonts w:cs="Arial"/>
              </w:rPr>
            </w:pPr>
            <w:r w:rsidRPr="000524BB">
              <w:rPr>
                <w:rFonts w:cs="Arial"/>
              </w:rPr>
              <w:t>(a) Exists or occurs in or can be obtained from any geological structure or formation, any natural or artificial land fill or any soil beneath the surface of the land; and</w:t>
            </w:r>
          </w:p>
          <w:p w:rsidR="001B0C40" w:rsidRPr="000524BB" w:rsidRDefault="001B0C40" w:rsidP="00265467">
            <w:pPr>
              <w:spacing w:before="120"/>
              <w:ind w:right="141"/>
              <w:jc w:val="both"/>
              <w:rPr>
                <w:rFonts w:cs="Arial"/>
              </w:rPr>
            </w:pPr>
            <w:r w:rsidRPr="000524BB">
              <w:rPr>
                <w:rFonts w:cs="Arial"/>
              </w:rPr>
              <w:t>(b) Arises (or has originated) from any surface or underground flow of water (including any discharge, release, escape, percolation, seepage or passage of such water).</w:t>
            </w:r>
          </w:p>
        </w:tc>
      </w:tr>
    </w:tbl>
    <w:p w:rsidR="001B0C40" w:rsidRPr="0008427B" w:rsidRDefault="001B0C40" w:rsidP="001B0C40">
      <w:pPr>
        <w:spacing w:before="240"/>
        <w:ind w:right="141"/>
        <w:jc w:val="both"/>
        <w:rPr>
          <w:rFonts w:cs="Arial"/>
          <w:sz w:val="22"/>
        </w:rPr>
      </w:pPr>
      <w:r w:rsidRPr="0008427B">
        <w:rPr>
          <w:rFonts w:cs="Arial"/>
          <w:b/>
          <w:bCs/>
          <w:sz w:val="22"/>
        </w:rPr>
        <w:t>Please note:</w:t>
      </w:r>
      <w:r w:rsidRPr="0008427B">
        <w:rPr>
          <w:rFonts w:cs="Arial"/>
          <w:sz w:val="22"/>
        </w:rPr>
        <w:t xml:space="preserve">  This guideline is current as at the date of approval.  Refer to Council’s website (</w:t>
      </w:r>
      <w:hyperlink r:id="rId12" w:history="1">
        <w:r w:rsidRPr="0008427B">
          <w:rPr>
            <w:rStyle w:val="Hyperlink"/>
            <w:rFonts w:cs="Arial"/>
            <w:sz w:val="22"/>
          </w:rPr>
          <w:t>www.bayside.vic.gov.au</w:t>
        </w:r>
      </w:hyperlink>
      <w:r w:rsidRPr="0008427B">
        <w:rPr>
          <w:rFonts w:cs="Arial"/>
          <w:sz w:val="22"/>
        </w:rPr>
        <w:t>) to ensure this is the latest version.</w:t>
      </w:r>
    </w:p>
    <w:p w:rsidR="00245E06" w:rsidRPr="0008427B" w:rsidRDefault="00245E06" w:rsidP="001B0C40">
      <w:pPr>
        <w:pStyle w:val="heading5"/>
        <w:spacing w:before="120"/>
        <w:ind w:left="426" w:right="507"/>
        <w:rPr>
          <w:rFonts w:cs="Arial"/>
          <w:sz w:val="22"/>
        </w:rPr>
      </w:pPr>
    </w:p>
    <w:sectPr w:rsidR="00245E06" w:rsidRPr="0008427B" w:rsidSect="0008427B">
      <w:headerReference w:type="default" r:id="rId13"/>
      <w:type w:val="continuous"/>
      <w:pgSz w:w="11899" w:h="16838"/>
      <w:pgMar w:top="993" w:right="700" w:bottom="1843" w:left="993" w:header="425" w:footer="13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BE7" w:rsidRDefault="00344BE7">
      <w:r>
        <w:separator/>
      </w:r>
    </w:p>
  </w:endnote>
  <w:endnote w:type="continuationSeparator" w:id="0">
    <w:p w:rsidR="00344BE7" w:rsidRDefault="0034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07" w:rsidRDefault="00354E07">
    <w:pPr>
      <w:pStyle w:val="Footer"/>
      <w:tabs>
        <w:tab w:val="clear" w:pos="4320"/>
        <w:tab w:val="clear" w:pos="8640"/>
        <w:tab w:val="right" w:pos="9923"/>
      </w:tabs>
      <w:ind w:right="650"/>
      <w:rPr>
        <w:rStyle w:val="PageNumber"/>
        <w:sz w:val="18"/>
        <w:szCs w:val="18"/>
      </w:rPr>
    </w:pPr>
    <w:r>
      <w:rPr>
        <w:sz w:val="18"/>
        <w:szCs w:val="18"/>
        <w:lang w:val="en-US"/>
      </w:rPr>
      <w:t xml:space="preserve">Version </w:t>
    </w:r>
    <w:r w:rsidR="0086308C">
      <w:rPr>
        <w:sz w:val="18"/>
        <w:szCs w:val="18"/>
        <w:lang w:val="en-US"/>
      </w:rPr>
      <w:t>1</w:t>
    </w:r>
    <w:r>
      <w:rPr>
        <w:sz w:val="18"/>
        <w:szCs w:val="18"/>
        <w:lang w:val="en-US"/>
      </w:rPr>
      <w:tab/>
      <w:t xml:space="preserve">Page </w:t>
    </w:r>
    <w:r w:rsidR="00EB2EF0">
      <w:rPr>
        <w:rStyle w:val="PageNumber"/>
        <w:sz w:val="18"/>
        <w:szCs w:val="18"/>
      </w:rPr>
      <w:fldChar w:fldCharType="begin"/>
    </w:r>
    <w:r>
      <w:rPr>
        <w:rStyle w:val="PageNumber"/>
        <w:sz w:val="18"/>
        <w:szCs w:val="18"/>
      </w:rPr>
      <w:instrText xml:space="preserve"> PAGE </w:instrText>
    </w:r>
    <w:r w:rsidR="00EB2EF0">
      <w:rPr>
        <w:rStyle w:val="PageNumber"/>
        <w:sz w:val="18"/>
        <w:szCs w:val="18"/>
      </w:rPr>
      <w:fldChar w:fldCharType="separate"/>
    </w:r>
    <w:r w:rsidR="0048748F">
      <w:rPr>
        <w:rStyle w:val="PageNumber"/>
        <w:noProof/>
        <w:sz w:val="18"/>
        <w:szCs w:val="18"/>
      </w:rPr>
      <w:t>4</w:t>
    </w:r>
    <w:r w:rsidR="00EB2EF0">
      <w:rPr>
        <w:rStyle w:val="PageNumber"/>
        <w:sz w:val="18"/>
        <w:szCs w:val="18"/>
      </w:rPr>
      <w:fldChar w:fldCharType="end"/>
    </w:r>
  </w:p>
  <w:p w:rsidR="00354E07" w:rsidRDefault="000C04C9">
    <w:pPr>
      <w:pStyle w:val="Footer"/>
      <w:tabs>
        <w:tab w:val="clear" w:pos="4320"/>
        <w:tab w:val="clear" w:pos="8640"/>
        <w:tab w:val="right" w:pos="10490"/>
      </w:tabs>
      <w:ind w:right="650"/>
      <w:rPr>
        <w:sz w:val="20"/>
      </w:rPr>
    </w:pPr>
    <w:r w:rsidRPr="004C014C">
      <w:rPr>
        <w:noProof/>
        <w:sz w:val="20"/>
        <w:lang w:eastAsia="en-AU"/>
      </w:rPr>
      <w:drawing>
        <wp:anchor distT="0" distB="0" distL="114300" distR="114300" simplePos="0" relativeHeight="251673088" behindDoc="1" locked="0" layoutInCell="1" allowOverlap="1">
          <wp:simplePos x="0" y="0"/>
          <wp:positionH relativeFrom="column">
            <wp:posOffset>-426720</wp:posOffset>
          </wp:positionH>
          <wp:positionV relativeFrom="paragraph">
            <wp:posOffset>150495</wp:posOffset>
          </wp:positionV>
          <wp:extent cx="7162800" cy="723900"/>
          <wp:effectExtent l="0" t="0" r="0" b="0"/>
          <wp:wrapNone/>
          <wp:docPr id="1" name="Picture 1" descr="sub footer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ub footer -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723900"/>
                  </a:xfrm>
                  <a:prstGeom prst="rect">
                    <a:avLst/>
                  </a:prstGeom>
                  <a:noFill/>
                </pic:spPr>
              </pic:pic>
            </a:graphicData>
          </a:graphic>
        </wp:anchor>
      </w:drawing>
    </w:r>
    <w:r w:rsidR="004D0B81">
      <w:rPr>
        <w:sz w:val="20"/>
      </w:rPr>
      <w:t>June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07" w:rsidRDefault="00354E07">
    <w:pPr>
      <w:pStyle w:val="Footer"/>
      <w:tabs>
        <w:tab w:val="clear" w:pos="4320"/>
        <w:tab w:val="clear" w:pos="8640"/>
        <w:tab w:val="right" w:pos="10490"/>
      </w:tabs>
      <w:ind w:left="567" w:right="650"/>
      <w:rPr>
        <w:rStyle w:val="PageNumber"/>
        <w:sz w:val="18"/>
        <w:szCs w:val="18"/>
      </w:rPr>
    </w:pPr>
    <w:r>
      <w:rPr>
        <w:sz w:val="18"/>
        <w:szCs w:val="18"/>
        <w:lang w:val="en-US"/>
      </w:rPr>
      <w:t xml:space="preserve">Version </w:t>
    </w:r>
    <w:r w:rsidR="0086308C">
      <w:rPr>
        <w:sz w:val="18"/>
        <w:szCs w:val="18"/>
        <w:lang w:val="en-US"/>
      </w:rPr>
      <w:t>1</w:t>
    </w:r>
    <w:r>
      <w:rPr>
        <w:sz w:val="18"/>
        <w:szCs w:val="18"/>
        <w:lang w:val="en-US"/>
      </w:rPr>
      <w:tab/>
      <w:t xml:space="preserve">Page </w:t>
    </w:r>
    <w:r w:rsidR="00EB2EF0">
      <w:rPr>
        <w:rStyle w:val="PageNumber"/>
        <w:sz w:val="18"/>
        <w:szCs w:val="18"/>
      </w:rPr>
      <w:fldChar w:fldCharType="begin"/>
    </w:r>
    <w:r>
      <w:rPr>
        <w:rStyle w:val="PageNumber"/>
        <w:sz w:val="18"/>
        <w:szCs w:val="18"/>
      </w:rPr>
      <w:instrText xml:space="preserve"> PAGE </w:instrText>
    </w:r>
    <w:r w:rsidR="00EB2EF0">
      <w:rPr>
        <w:rStyle w:val="PageNumber"/>
        <w:sz w:val="18"/>
        <w:szCs w:val="18"/>
      </w:rPr>
      <w:fldChar w:fldCharType="separate"/>
    </w:r>
    <w:r w:rsidR="0048748F">
      <w:rPr>
        <w:rStyle w:val="PageNumber"/>
        <w:noProof/>
        <w:sz w:val="18"/>
        <w:szCs w:val="18"/>
      </w:rPr>
      <w:t>1</w:t>
    </w:r>
    <w:r w:rsidR="00EB2EF0">
      <w:rPr>
        <w:rStyle w:val="PageNumber"/>
        <w:sz w:val="18"/>
        <w:szCs w:val="18"/>
      </w:rPr>
      <w:fldChar w:fldCharType="end"/>
    </w:r>
  </w:p>
  <w:p w:rsidR="00354E07" w:rsidRDefault="000C04C9">
    <w:pPr>
      <w:pStyle w:val="Footer"/>
      <w:tabs>
        <w:tab w:val="clear" w:pos="4320"/>
        <w:tab w:val="clear" w:pos="8640"/>
        <w:tab w:val="right" w:pos="10490"/>
      </w:tabs>
      <w:ind w:left="567" w:right="650"/>
      <w:rPr>
        <w:sz w:val="18"/>
        <w:szCs w:val="18"/>
        <w:lang w:val="en-US"/>
      </w:rPr>
    </w:pPr>
    <w:r>
      <w:rPr>
        <w:noProof/>
        <w:sz w:val="18"/>
        <w:szCs w:val="18"/>
        <w:lang w:eastAsia="en-AU"/>
      </w:rPr>
      <w:drawing>
        <wp:anchor distT="0" distB="0" distL="114300" distR="114300" simplePos="0" relativeHeight="251655680" behindDoc="1" locked="0" layoutInCell="1" allowOverlap="1">
          <wp:simplePos x="0" y="0"/>
          <wp:positionH relativeFrom="column">
            <wp:posOffset>10160</wp:posOffset>
          </wp:positionH>
          <wp:positionV relativeFrom="paragraph">
            <wp:posOffset>154940</wp:posOffset>
          </wp:positionV>
          <wp:extent cx="7073900" cy="711200"/>
          <wp:effectExtent l="0" t="0" r="0" b="0"/>
          <wp:wrapNone/>
          <wp:docPr id="3" name="Picture 3" descr="footer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oter -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0" cy="711200"/>
                  </a:xfrm>
                  <a:prstGeom prst="rect">
                    <a:avLst/>
                  </a:prstGeom>
                  <a:noFill/>
                </pic:spPr>
              </pic:pic>
            </a:graphicData>
          </a:graphic>
        </wp:anchor>
      </w:drawing>
    </w:r>
    <w:r w:rsidR="004D0B81">
      <w:rPr>
        <w:noProof/>
        <w:sz w:val="18"/>
        <w:szCs w:val="18"/>
        <w:lang w:eastAsia="en-AU"/>
      </w:rPr>
      <w:t>June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BE7" w:rsidRDefault="00344BE7">
      <w:r>
        <w:separator/>
      </w:r>
    </w:p>
  </w:footnote>
  <w:footnote w:type="continuationSeparator" w:id="0">
    <w:p w:rsidR="00344BE7" w:rsidRDefault="00344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07" w:rsidRDefault="0048748F">
    <w:pPr>
      <w:pStyle w:val="Header"/>
      <w:tabs>
        <w:tab w:val="clear" w:pos="8640"/>
      </w:tabs>
      <w:ind w:right="-1"/>
    </w:pPr>
    <w:r>
      <w:rPr>
        <w:noProof/>
        <w:szCs w:val="20"/>
        <w:lang w:eastAsia="en-AU"/>
      </w:rPr>
      <mc:AlternateContent>
        <mc:Choice Requires="wps">
          <w:drawing>
            <wp:anchor distT="0" distB="0" distL="114300" distR="114300" simplePos="0" relativeHeight="251656192" behindDoc="1" locked="0" layoutInCell="1" allowOverlap="1">
              <wp:simplePos x="0" y="0"/>
              <wp:positionH relativeFrom="page">
                <wp:posOffset>685800</wp:posOffset>
              </wp:positionH>
              <wp:positionV relativeFrom="page">
                <wp:posOffset>685800</wp:posOffset>
              </wp:positionV>
              <wp:extent cx="3977640" cy="422910"/>
              <wp:effectExtent l="0" t="0" r="381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7" w:rsidRDefault="00354E07">
                          <w:pPr>
                            <w:pStyle w:val="Masthe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4pt;margin-top:54pt;width:313.2pt;height:33.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LD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UWmOn2nEnC678BND7ANXbaZqu5OFN8V4mJTE76nKylFX1NSAjvf3HSfXR1x&#10;lAHZ9Z9ECWHIQQsLNFSyNaWDYiBAhy49njtjqBSweR3P51EIRwWchUEQ+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" filled="f" stroked="f">
              <v:textbox inset="0,0,0,0">
                <w:txbxContent>
                  <w:p w:rsidR="00354E07" w:rsidRDefault="00354E07">
                    <w:pPr>
                      <w:pStyle w:val="Masthead"/>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07" w:rsidRDefault="0048748F">
    <w:pPr>
      <w:pStyle w:val="Header"/>
    </w:pPr>
    <w:r>
      <w:rPr>
        <w:noProof/>
        <w:szCs w:val="20"/>
        <w:lang w:eastAsia="en-AU"/>
      </w:rPr>
      <mc:AlternateContent>
        <mc:Choice Requires="wps">
          <w:drawing>
            <wp:anchor distT="0" distB="0" distL="114300" distR="114300" simplePos="0" relativeHeight="251655168" behindDoc="0" locked="0" layoutInCell="1" allowOverlap="1">
              <wp:simplePos x="0" y="0"/>
              <wp:positionH relativeFrom="column">
                <wp:posOffset>467360</wp:posOffset>
              </wp:positionH>
              <wp:positionV relativeFrom="paragraph">
                <wp:posOffset>647065</wp:posOffset>
              </wp:positionV>
              <wp:extent cx="6400800" cy="799465"/>
              <wp:effectExtent l="0" t="0" r="0" b="63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99465"/>
                      </a:xfrm>
                      <a:prstGeom prst="rect">
                        <a:avLst/>
                      </a:prstGeom>
                      <a:noFill/>
                      <a:ln>
                        <a:noFill/>
                      </a:ln>
                      <a:extLst>
                        <a:ext uri="{909E8E84-426E-40DD-AFC4-6F175D3DCCD1}">
                          <a14:hiddenFill xmlns:a14="http://schemas.microsoft.com/office/drawing/2010/main">
                            <a:solidFill>
                              <a:srgbClr val="FFFF00">
                                <a:alpha val="0"/>
                              </a:srgbClr>
                            </a:solidFill>
                          </a14:hiddenFill>
                        </a:ext>
                        <a:ext uri="{91240B29-F687-4F45-9708-019B960494DF}">
                          <a14:hiddenLine xmlns:a14="http://schemas.microsoft.com/office/drawing/2010/main" w="12700">
                            <a:solidFill>
                              <a:srgbClr val="000000">
                                <a:alpha val="0"/>
                              </a:srgbClr>
                            </a:solidFill>
                            <a:miter lim="800000"/>
                            <a:headEnd/>
                            <a:tailEnd/>
                          </a14:hiddenLine>
                        </a:ext>
                      </a:extLst>
                    </wps:spPr>
                    <wps:txbx>
                      <w:txbxContent>
                        <w:p w:rsidR="00354E07" w:rsidRDefault="00D441FC" w:rsidP="00B60155">
                          <w:pPr>
                            <w:pStyle w:val="Masthead"/>
                            <w:jc w:val="center"/>
                            <w:rPr>
                              <w:b/>
                              <w:bCs/>
                              <w:sz w:val="52"/>
                            </w:rPr>
                          </w:pPr>
                          <w:r>
                            <w:rPr>
                              <w:b/>
                              <w:bCs/>
                              <w:sz w:val="52"/>
                            </w:rPr>
                            <w:t>Subterranean Drainage</w:t>
                          </w:r>
                          <w:r w:rsidR="00354E07">
                            <w:rPr>
                              <w:b/>
                              <w:bCs/>
                              <w:sz w:val="52"/>
                            </w:rPr>
                            <w:t xml:space="preserve"> Guideline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6.8pt;margin-top:50.95pt;width:7in;height:6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" filled="f" fillcolor="yellow" stroked="f" strokeweight="1pt">
              <v:fill opacity="0"/>
              <v:stroke opacity="0"/>
              <v:textbox>
                <w:txbxContent>
                  <w:p w:rsidR="00354E07" w:rsidRDefault="00D441FC" w:rsidP="00B60155">
                    <w:pPr>
                      <w:pStyle w:val="Masthead"/>
                      <w:jc w:val="center"/>
                      <w:rPr>
                        <w:b/>
                        <w:bCs/>
                        <w:sz w:val="52"/>
                      </w:rPr>
                    </w:pPr>
                    <w:r>
                      <w:rPr>
                        <w:b/>
                        <w:bCs/>
                        <w:sz w:val="52"/>
                      </w:rPr>
                      <w:t>Subterranean Drainage</w:t>
                    </w:r>
                    <w:r w:rsidR="00354E07">
                      <w:rPr>
                        <w:b/>
                        <w:bCs/>
                        <w:sz w:val="52"/>
                      </w:rPr>
                      <w:t xml:space="preserve"> Guideline</w:t>
                    </w:r>
                  </w:p>
                </w:txbxContent>
              </v:textbox>
            </v:shape>
          </w:pict>
        </mc:Fallback>
      </mc:AlternateContent>
    </w:r>
    <w:r w:rsidR="000C04C9">
      <w:rPr>
        <w:noProof/>
        <w:sz w:val="20"/>
        <w:szCs w:val="20"/>
        <w:lang w:eastAsia="en-AU"/>
      </w:rPr>
      <w:drawing>
        <wp:anchor distT="0" distB="0" distL="114300" distR="114300" simplePos="0" relativeHeight="251658240" behindDoc="1" locked="0" layoutInCell="1" allowOverlap="1">
          <wp:simplePos x="0" y="0"/>
          <wp:positionH relativeFrom="column">
            <wp:align>center</wp:align>
          </wp:positionH>
          <wp:positionV relativeFrom="paragraph">
            <wp:posOffset>-3810</wp:posOffset>
          </wp:positionV>
          <wp:extent cx="7086600" cy="1435100"/>
          <wp:effectExtent l="0" t="0" r="0" b="0"/>
          <wp:wrapNone/>
          <wp:docPr id="2" name="Picture 2" descr="long header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ng header -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0" cy="1435100"/>
                  </a:xfrm>
                  <a:prstGeom prst="rect">
                    <a:avLst/>
                  </a:prstGeom>
                  <a:noFill/>
                </pic:spPr>
              </pic:pic>
            </a:graphicData>
          </a:graphic>
        </wp:anchor>
      </w:drawing>
    </w:r>
    <w:r w:rsidR="00643204">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07" w:rsidRDefault="0048748F">
    <w:pPr>
      <w:pStyle w:val="Header"/>
      <w:tabs>
        <w:tab w:val="clear" w:pos="8640"/>
      </w:tabs>
      <w:ind w:right="-1"/>
    </w:pPr>
    <w:r>
      <w:rPr>
        <w:noProof/>
        <w:lang w:eastAsia="en-AU"/>
      </w:rPr>
      <mc:AlternateContent>
        <mc:Choice Requires="wps">
          <w:drawing>
            <wp:anchor distT="0" distB="0" distL="114300" distR="114300" simplePos="0" relativeHeight="251679232" behindDoc="1" locked="0" layoutInCell="1" allowOverlap="1">
              <wp:simplePos x="0" y="0"/>
              <wp:positionH relativeFrom="page">
                <wp:posOffset>685800</wp:posOffset>
              </wp:positionH>
              <wp:positionV relativeFrom="page">
                <wp:posOffset>685800</wp:posOffset>
              </wp:positionV>
              <wp:extent cx="3977640" cy="422910"/>
              <wp:effectExtent l="0" t="0" r="3810" b="1524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7" w:rsidRDefault="00354E07">
                          <w:pPr>
                            <w:pStyle w:val="Masthe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54pt;margin-top:54pt;width:313.2pt;height:33.3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" filled="f" stroked="f">
              <v:textbox inset="0,0,0,0">
                <w:txbxContent>
                  <w:p w:rsidR="00354E07" w:rsidRDefault="00354E07">
                    <w:pPr>
                      <w:pStyle w:val="Masthead"/>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7C7"/>
    <w:multiLevelType w:val="hybridMultilevel"/>
    <w:tmpl w:val="0FB4EBD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B797D"/>
    <w:multiLevelType w:val="hybridMultilevel"/>
    <w:tmpl w:val="2D52F6AA"/>
    <w:lvl w:ilvl="0" w:tplc="861AF1EA">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E124DA"/>
    <w:multiLevelType w:val="hybridMultilevel"/>
    <w:tmpl w:val="F0743252"/>
    <w:lvl w:ilvl="0" w:tplc="F2F64C1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157A58"/>
    <w:multiLevelType w:val="multilevel"/>
    <w:tmpl w:val="AA063640"/>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540573"/>
    <w:multiLevelType w:val="hybridMultilevel"/>
    <w:tmpl w:val="FF446F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846A3E"/>
    <w:multiLevelType w:val="hybridMultilevel"/>
    <w:tmpl w:val="37F072C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D475ED"/>
    <w:multiLevelType w:val="hybridMultilevel"/>
    <w:tmpl w:val="CB04E38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E4C3BA4"/>
    <w:multiLevelType w:val="hybridMultilevel"/>
    <w:tmpl w:val="5568DD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5A2377"/>
    <w:multiLevelType w:val="hybridMultilevel"/>
    <w:tmpl w:val="F5DEF5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3675AD"/>
    <w:multiLevelType w:val="hybridMultilevel"/>
    <w:tmpl w:val="9DBE00F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D0F0809"/>
    <w:multiLevelType w:val="hybridMultilevel"/>
    <w:tmpl w:val="C578165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5F75B7"/>
    <w:multiLevelType w:val="hybridMultilevel"/>
    <w:tmpl w:val="D2D00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E352F3"/>
    <w:multiLevelType w:val="hybridMultilevel"/>
    <w:tmpl w:val="A78891F4"/>
    <w:lvl w:ilvl="0" w:tplc="F2F64C1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F386F23"/>
    <w:multiLevelType w:val="hybridMultilevel"/>
    <w:tmpl w:val="B93EFB62"/>
    <w:lvl w:ilvl="0" w:tplc="F2F64C1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54E6D0F"/>
    <w:multiLevelType w:val="hybridMultilevel"/>
    <w:tmpl w:val="5560CE9C"/>
    <w:lvl w:ilvl="0" w:tplc="78CCC70A">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5A59F1"/>
    <w:multiLevelType w:val="hybridMultilevel"/>
    <w:tmpl w:val="64C2FC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DF495F"/>
    <w:multiLevelType w:val="hybridMultilevel"/>
    <w:tmpl w:val="0A300D0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0656067"/>
    <w:multiLevelType w:val="hybridMultilevel"/>
    <w:tmpl w:val="D696FA84"/>
    <w:lvl w:ilvl="0" w:tplc="78CCC70A">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7C11FD"/>
    <w:multiLevelType w:val="hybridMultilevel"/>
    <w:tmpl w:val="A1F01174"/>
    <w:lvl w:ilvl="0" w:tplc="F2F64C1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D2012D"/>
    <w:multiLevelType w:val="hybridMultilevel"/>
    <w:tmpl w:val="88FA5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B62C81"/>
    <w:multiLevelType w:val="hybridMultilevel"/>
    <w:tmpl w:val="1004A51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E462C0"/>
    <w:multiLevelType w:val="hybridMultilevel"/>
    <w:tmpl w:val="76AE5F3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3C276637"/>
    <w:multiLevelType w:val="hybridMultilevel"/>
    <w:tmpl w:val="CB9E1C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CD44870"/>
    <w:multiLevelType w:val="hybridMultilevel"/>
    <w:tmpl w:val="AB684D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033BAB"/>
    <w:multiLevelType w:val="hybridMultilevel"/>
    <w:tmpl w:val="88EC6220"/>
    <w:lvl w:ilvl="0" w:tplc="78CCC70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DE60F2"/>
    <w:multiLevelType w:val="hybridMultilevel"/>
    <w:tmpl w:val="BBF4F5D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8159E4"/>
    <w:multiLevelType w:val="hybridMultilevel"/>
    <w:tmpl w:val="A5FE7D2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5E5183C"/>
    <w:multiLevelType w:val="hybridMultilevel"/>
    <w:tmpl w:val="EDD22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803A5C"/>
    <w:multiLevelType w:val="hybridMultilevel"/>
    <w:tmpl w:val="22F67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5E6185"/>
    <w:multiLevelType w:val="hybridMultilevel"/>
    <w:tmpl w:val="DBFAAA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E4280E"/>
    <w:multiLevelType w:val="multilevel"/>
    <w:tmpl w:val="CCE63DF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A86522"/>
    <w:multiLevelType w:val="hybridMultilevel"/>
    <w:tmpl w:val="F16C4C2A"/>
    <w:lvl w:ilvl="0" w:tplc="C9D0DE04">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CE000C"/>
    <w:multiLevelType w:val="hybridMultilevel"/>
    <w:tmpl w:val="DCDA3866"/>
    <w:lvl w:ilvl="0" w:tplc="78CCC70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1201E"/>
    <w:multiLevelType w:val="hybridMultilevel"/>
    <w:tmpl w:val="AF3AF3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DB35947"/>
    <w:multiLevelType w:val="hybridMultilevel"/>
    <w:tmpl w:val="D88E40B2"/>
    <w:lvl w:ilvl="0" w:tplc="F2F64C1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F24B58"/>
    <w:multiLevelType w:val="hybridMultilevel"/>
    <w:tmpl w:val="4220177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5860C8"/>
    <w:multiLevelType w:val="hybridMultilevel"/>
    <w:tmpl w:val="4294BBC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5722450"/>
    <w:multiLevelType w:val="hybridMultilevel"/>
    <w:tmpl w:val="60B0C2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6EF2516"/>
    <w:multiLevelType w:val="hybridMultilevel"/>
    <w:tmpl w:val="0848F2B4"/>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426622"/>
    <w:multiLevelType w:val="multilevel"/>
    <w:tmpl w:val="525038B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6"/>
        </w:tabs>
        <w:ind w:left="816" w:hanging="390"/>
      </w:pPr>
      <w:rPr>
        <w:rFonts w:hint="default"/>
      </w:rPr>
    </w:lvl>
    <w:lvl w:ilvl="2">
      <w:start w:val="1"/>
      <w:numFmt w:val="decimal"/>
      <w:isLgl/>
      <w:lvlText w:val="%1.%2.%3"/>
      <w:lvlJc w:val="left"/>
      <w:pPr>
        <w:tabs>
          <w:tab w:val="num" w:pos="1212"/>
        </w:tabs>
        <w:ind w:left="1212" w:hanging="720"/>
      </w:pPr>
      <w:rPr>
        <w:rFonts w:hint="default"/>
      </w:rPr>
    </w:lvl>
    <w:lvl w:ilvl="3">
      <w:start w:val="1"/>
      <w:numFmt w:val="decimal"/>
      <w:isLgl/>
      <w:lvlText w:val="%1.%2.%3.%4"/>
      <w:lvlJc w:val="left"/>
      <w:pPr>
        <w:tabs>
          <w:tab w:val="num" w:pos="1638"/>
        </w:tabs>
        <w:ind w:left="1638" w:hanging="108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2130"/>
        </w:tabs>
        <w:ind w:left="2130" w:hanging="1440"/>
      </w:pPr>
      <w:rPr>
        <w:rFonts w:hint="default"/>
      </w:rPr>
    </w:lvl>
    <w:lvl w:ilvl="6">
      <w:start w:val="1"/>
      <w:numFmt w:val="decimal"/>
      <w:isLgl/>
      <w:lvlText w:val="%1.%2.%3.%4.%5.%6.%7"/>
      <w:lvlJc w:val="left"/>
      <w:pPr>
        <w:tabs>
          <w:tab w:val="num" w:pos="2196"/>
        </w:tabs>
        <w:ind w:left="2196" w:hanging="1440"/>
      </w:pPr>
      <w:rPr>
        <w:rFonts w:hint="default"/>
      </w:rPr>
    </w:lvl>
    <w:lvl w:ilvl="7">
      <w:start w:val="1"/>
      <w:numFmt w:val="decimal"/>
      <w:isLgl/>
      <w:lvlText w:val="%1.%2.%3.%4.%5.%6.%7.%8"/>
      <w:lvlJc w:val="left"/>
      <w:pPr>
        <w:tabs>
          <w:tab w:val="num" w:pos="2622"/>
        </w:tabs>
        <w:ind w:left="2622" w:hanging="1800"/>
      </w:pPr>
      <w:rPr>
        <w:rFonts w:hint="default"/>
      </w:rPr>
    </w:lvl>
    <w:lvl w:ilvl="8">
      <w:start w:val="1"/>
      <w:numFmt w:val="decimal"/>
      <w:isLgl/>
      <w:lvlText w:val="%1.%2.%3.%4.%5.%6.%7.%8.%9"/>
      <w:lvlJc w:val="left"/>
      <w:pPr>
        <w:tabs>
          <w:tab w:val="num" w:pos="2688"/>
        </w:tabs>
        <w:ind w:left="2688" w:hanging="1800"/>
      </w:pPr>
      <w:rPr>
        <w:rFonts w:hint="default"/>
      </w:rPr>
    </w:lvl>
  </w:abstractNum>
  <w:abstractNum w:abstractNumId="40" w15:restartNumberingAfterBreak="0">
    <w:nsid w:val="6EC96DF0"/>
    <w:multiLevelType w:val="multilevel"/>
    <w:tmpl w:val="9CCA7B4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816"/>
        </w:tabs>
        <w:ind w:left="816" w:hanging="390"/>
      </w:pPr>
      <w:rPr>
        <w:rFonts w:hint="default"/>
      </w:rPr>
    </w:lvl>
    <w:lvl w:ilvl="2">
      <w:start w:val="1"/>
      <w:numFmt w:val="decimal"/>
      <w:isLgl/>
      <w:lvlText w:val="%1.%2.%3"/>
      <w:lvlJc w:val="left"/>
      <w:pPr>
        <w:tabs>
          <w:tab w:val="num" w:pos="1212"/>
        </w:tabs>
        <w:ind w:left="1212" w:hanging="720"/>
      </w:pPr>
      <w:rPr>
        <w:rFonts w:hint="default"/>
      </w:rPr>
    </w:lvl>
    <w:lvl w:ilvl="3">
      <w:start w:val="1"/>
      <w:numFmt w:val="decimal"/>
      <w:isLgl/>
      <w:lvlText w:val="%1.%2.%3.%4"/>
      <w:lvlJc w:val="left"/>
      <w:pPr>
        <w:tabs>
          <w:tab w:val="num" w:pos="1638"/>
        </w:tabs>
        <w:ind w:left="1638" w:hanging="108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2130"/>
        </w:tabs>
        <w:ind w:left="2130" w:hanging="1440"/>
      </w:pPr>
      <w:rPr>
        <w:rFonts w:hint="default"/>
      </w:rPr>
    </w:lvl>
    <w:lvl w:ilvl="6">
      <w:start w:val="1"/>
      <w:numFmt w:val="decimal"/>
      <w:isLgl/>
      <w:lvlText w:val="%1.%2.%3.%4.%5.%6.%7"/>
      <w:lvlJc w:val="left"/>
      <w:pPr>
        <w:tabs>
          <w:tab w:val="num" w:pos="2196"/>
        </w:tabs>
        <w:ind w:left="2196" w:hanging="1440"/>
      </w:pPr>
      <w:rPr>
        <w:rFonts w:hint="default"/>
      </w:rPr>
    </w:lvl>
    <w:lvl w:ilvl="7">
      <w:start w:val="1"/>
      <w:numFmt w:val="decimal"/>
      <w:isLgl/>
      <w:lvlText w:val="%1.%2.%3.%4.%5.%6.%7.%8"/>
      <w:lvlJc w:val="left"/>
      <w:pPr>
        <w:tabs>
          <w:tab w:val="num" w:pos="2622"/>
        </w:tabs>
        <w:ind w:left="2622" w:hanging="1800"/>
      </w:pPr>
      <w:rPr>
        <w:rFonts w:hint="default"/>
      </w:rPr>
    </w:lvl>
    <w:lvl w:ilvl="8">
      <w:start w:val="1"/>
      <w:numFmt w:val="decimal"/>
      <w:isLgl/>
      <w:lvlText w:val="%1.%2.%3.%4.%5.%6.%7.%8.%9"/>
      <w:lvlJc w:val="left"/>
      <w:pPr>
        <w:tabs>
          <w:tab w:val="num" w:pos="2688"/>
        </w:tabs>
        <w:ind w:left="2688" w:hanging="1800"/>
      </w:pPr>
      <w:rPr>
        <w:rFonts w:hint="default"/>
      </w:rPr>
    </w:lvl>
  </w:abstractNum>
  <w:abstractNum w:abstractNumId="41" w15:restartNumberingAfterBreak="0">
    <w:nsid w:val="72CC49D2"/>
    <w:multiLevelType w:val="hybridMultilevel"/>
    <w:tmpl w:val="A1944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4E4139"/>
    <w:multiLevelType w:val="hybridMultilevel"/>
    <w:tmpl w:val="B726B4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3665A3F"/>
    <w:multiLevelType w:val="hybridMultilevel"/>
    <w:tmpl w:val="E940EC02"/>
    <w:lvl w:ilvl="0" w:tplc="0C090001">
      <w:start w:val="3"/>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D5C7491"/>
    <w:multiLevelType w:val="hybridMultilevel"/>
    <w:tmpl w:val="3456138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E9A1D32"/>
    <w:multiLevelType w:val="hybridMultilevel"/>
    <w:tmpl w:val="273CAA24"/>
    <w:lvl w:ilvl="0" w:tplc="D65ADD0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8A2787"/>
    <w:multiLevelType w:val="hybridMultilevel"/>
    <w:tmpl w:val="3456138C"/>
    <w:lvl w:ilvl="0" w:tplc="78CCC70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39"/>
  </w:num>
  <w:num w:numId="3">
    <w:abstractNumId w:val="14"/>
  </w:num>
  <w:num w:numId="4">
    <w:abstractNumId w:val="45"/>
  </w:num>
  <w:num w:numId="5">
    <w:abstractNumId w:val="30"/>
  </w:num>
  <w:num w:numId="6">
    <w:abstractNumId w:val="32"/>
  </w:num>
  <w:num w:numId="7">
    <w:abstractNumId w:val="17"/>
  </w:num>
  <w:num w:numId="8">
    <w:abstractNumId w:val="3"/>
  </w:num>
  <w:num w:numId="9">
    <w:abstractNumId w:val="46"/>
  </w:num>
  <w:num w:numId="10">
    <w:abstractNumId w:val="24"/>
  </w:num>
  <w:num w:numId="11">
    <w:abstractNumId w:val="44"/>
  </w:num>
  <w:num w:numId="12">
    <w:abstractNumId w:val="35"/>
  </w:num>
  <w:num w:numId="13">
    <w:abstractNumId w:val="20"/>
  </w:num>
  <w:num w:numId="14">
    <w:abstractNumId w:val="0"/>
  </w:num>
  <w:num w:numId="15">
    <w:abstractNumId w:val="37"/>
  </w:num>
  <w:num w:numId="16">
    <w:abstractNumId w:val="40"/>
  </w:num>
  <w:num w:numId="17">
    <w:abstractNumId w:val="33"/>
  </w:num>
  <w:num w:numId="18">
    <w:abstractNumId w:val="42"/>
  </w:num>
  <w:num w:numId="19">
    <w:abstractNumId w:val="22"/>
  </w:num>
  <w:num w:numId="20">
    <w:abstractNumId w:val="11"/>
  </w:num>
  <w:num w:numId="21">
    <w:abstractNumId w:val="6"/>
  </w:num>
  <w:num w:numId="22">
    <w:abstractNumId w:val="7"/>
  </w:num>
  <w:num w:numId="23">
    <w:abstractNumId w:val="28"/>
  </w:num>
  <w:num w:numId="24">
    <w:abstractNumId w:val="34"/>
  </w:num>
  <w:num w:numId="25">
    <w:abstractNumId w:val="13"/>
  </w:num>
  <w:num w:numId="26">
    <w:abstractNumId w:val="12"/>
  </w:num>
  <w:num w:numId="27">
    <w:abstractNumId w:val="18"/>
  </w:num>
  <w:num w:numId="28">
    <w:abstractNumId w:val="25"/>
  </w:num>
  <w:num w:numId="29">
    <w:abstractNumId w:val="2"/>
  </w:num>
  <w:num w:numId="30">
    <w:abstractNumId w:val="1"/>
  </w:num>
  <w:num w:numId="31">
    <w:abstractNumId w:val="15"/>
  </w:num>
  <w:num w:numId="32">
    <w:abstractNumId w:val="4"/>
  </w:num>
  <w:num w:numId="33">
    <w:abstractNumId w:val="10"/>
  </w:num>
  <w:num w:numId="34">
    <w:abstractNumId w:val="16"/>
  </w:num>
  <w:num w:numId="35">
    <w:abstractNumId w:val="5"/>
  </w:num>
  <w:num w:numId="36">
    <w:abstractNumId w:val="36"/>
  </w:num>
  <w:num w:numId="37">
    <w:abstractNumId w:val="23"/>
  </w:num>
  <w:num w:numId="38">
    <w:abstractNumId w:val="38"/>
  </w:num>
  <w:num w:numId="39">
    <w:abstractNumId w:val="27"/>
  </w:num>
  <w:num w:numId="40">
    <w:abstractNumId w:val="29"/>
  </w:num>
  <w:num w:numId="41">
    <w:abstractNumId w:val="8"/>
  </w:num>
  <w:num w:numId="42">
    <w:abstractNumId w:val="26"/>
  </w:num>
  <w:num w:numId="43">
    <w:abstractNumId w:val="31"/>
  </w:num>
  <w:num w:numId="44">
    <w:abstractNumId w:val="43"/>
  </w:num>
  <w:num w:numId="45">
    <w:abstractNumId w:val="21"/>
  </w:num>
  <w:num w:numId="46">
    <w:abstractNumId w:val="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isplayHorizontalDrawingGridEvery w:val="0"/>
  <w:displayVerticalDrawingGridEvery w:val="0"/>
  <w:doNotUseMarginsForDrawingGridOrigin/>
  <w:noPunctuationKerning/>
  <w:characterSpacingControl w:val="doNotCompress"/>
  <w:hdrShapeDefaults>
    <o:shapedefaults v:ext="edit" spidmax="3482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6A"/>
    <w:rsid w:val="00004C5D"/>
    <w:rsid w:val="000116F5"/>
    <w:rsid w:val="000279A5"/>
    <w:rsid w:val="000400D2"/>
    <w:rsid w:val="000524BB"/>
    <w:rsid w:val="00056C10"/>
    <w:rsid w:val="0007238E"/>
    <w:rsid w:val="0008427B"/>
    <w:rsid w:val="00087708"/>
    <w:rsid w:val="000C04C9"/>
    <w:rsid w:val="000D1D5D"/>
    <w:rsid w:val="001119F4"/>
    <w:rsid w:val="00117917"/>
    <w:rsid w:val="001222DA"/>
    <w:rsid w:val="001223A3"/>
    <w:rsid w:val="001469A2"/>
    <w:rsid w:val="00155AC8"/>
    <w:rsid w:val="001A0D5F"/>
    <w:rsid w:val="001B0C40"/>
    <w:rsid w:val="001B3258"/>
    <w:rsid w:val="001B630B"/>
    <w:rsid w:val="001C045F"/>
    <w:rsid w:val="001C18EA"/>
    <w:rsid w:val="00203DF2"/>
    <w:rsid w:val="00214206"/>
    <w:rsid w:val="00245E06"/>
    <w:rsid w:val="00247059"/>
    <w:rsid w:val="00247B32"/>
    <w:rsid w:val="002512C4"/>
    <w:rsid w:val="00252642"/>
    <w:rsid w:val="0026142E"/>
    <w:rsid w:val="00264F0F"/>
    <w:rsid w:val="00266959"/>
    <w:rsid w:val="0027791C"/>
    <w:rsid w:val="00280A59"/>
    <w:rsid w:val="002866A5"/>
    <w:rsid w:val="002B281D"/>
    <w:rsid w:val="002E1899"/>
    <w:rsid w:val="002F06E5"/>
    <w:rsid w:val="002F74C9"/>
    <w:rsid w:val="0031497F"/>
    <w:rsid w:val="00344BE7"/>
    <w:rsid w:val="00351014"/>
    <w:rsid w:val="00354E07"/>
    <w:rsid w:val="0037768F"/>
    <w:rsid w:val="003A1280"/>
    <w:rsid w:val="003E6F22"/>
    <w:rsid w:val="004206FA"/>
    <w:rsid w:val="004322AF"/>
    <w:rsid w:val="004528CC"/>
    <w:rsid w:val="0048748F"/>
    <w:rsid w:val="004B0566"/>
    <w:rsid w:val="004C014C"/>
    <w:rsid w:val="004C5E49"/>
    <w:rsid w:val="004D0B81"/>
    <w:rsid w:val="004D755D"/>
    <w:rsid w:val="004E6BAC"/>
    <w:rsid w:val="004F3CB1"/>
    <w:rsid w:val="00501E49"/>
    <w:rsid w:val="00505FE7"/>
    <w:rsid w:val="00507AF6"/>
    <w:rsid w:val="00512C66"/>
    <w:rsid w:val="005133B6"/>
    <w:rsid w:val="0051545F"/>
    <w:rsid w:val="00545FA1"/>
    <w:rsid w:val="005B3A88"/>
    <w:rsid w:val="005F4F6A"/>
    <w:rsid w:val="006166F2"/>
    <w:rsid w:val="006332ED"/>
    <w:rsid w:val="00635DB1"/>
    <w:rsid w:val="00642847"/>
    <w:rsid w:val="00643204"/>
    <w:rsid w:val="00643296"/>
    <w:rsid w:val="006509A2"/>
    <w:rsid w:val="00656F09"/>
    <w:rsid w:val="006628B5"/>
    <w:rsid w:val="00662C83"/>
    <w:rsid w:val="0067205A"/>
    <w:rsid w:val="006A7022"/>
    <w:rsid w:val="006F0879"/>
    <w:rsid w:val="00737360"/>
    <w:rsid w:val="00746F27"/>
    <w:rsid w:val="0075204A"/>
    <w:rsid w:val="00757862"/>
    <w:rsid w:val="007775C2"/>
    <w:rsid w:val="00793994"/>
    <w:rsid w:val="007962FF"/>
    <w:rsid w:val="007A35CA"/>
    <w:rsid w:val="007B0C2D"/>
    <w:rsid w:val="007B2F43"/>
    <w:rsid w:val="007C3368"/>
    <w:rsid w:val="00810010"/>
    <w:rsid w:val="00841444"/>
    <w:rsid w:val="00843097"/>
    <w:rsid w:val="008570C7"/>
    <w:rsid w:val="008625BA"/>
    <w:rsid w:val="0086308C"/>
    <w:rsid w:val="008742FB"/>
    <w:rsid w:val="00883BD9"/>
    <w:rsid w:val="00886F93"/>
    <w:rsid w:val="00887AF8"/>
    <w:rsid w:val="00887D33"/>
    <w:rsid w:val="00893793"/>
    <w:rsid w:val="008B3B51"/>
    <w:rsid w:val="008B5C33"/>
    <w:rsid w:val="008D58D2"/>
    <w:rsid w:val="008D66D8"/>
    <w:rsid w:val="008D7DCA"/>
    <w:rsid w:val="00903B4F"/>
    <w:rsid w:val="0090745A"/>
    <w:rsid w:val="00911A60"/>
    <w:rsid w:val="00911B4E"/>
    <w:rsid w:val="00911CF9"/>
    <w:rsid w:val="0091209F"/>
    <w:rsid w:val="009211E9"/>
    <w:rsid w:val="00923221"/>
    <w:rsid w:val="00950874"/>
    <w:rsid w:val="0096240B"/>
    <w:rsid w:val="0099562D"/>
    <w:rsid w:val="009C5579"/>
    <w:rsid w:val="009F375B"/>
    <w:rsid w:val="00A0110B"/>
    <w:rsid w:val="00A033E9"/>
    <w:rsid w:val="00A30058"/>
    <w:rsid w:val="00A43D47"/>
    <w:rsid w:val="00A5715D"/>
    <w:rsid w:val="00A63ABD"/>
    <w:rsid w:val="00A8477A"/>
    <w:rsid w:val="00AA4403"/>
    <w:rsid w:val="00AC45BC"/>
    <w:rsid w:val="00AC5ED4"/>
    <w:rsid w:val="00AC6242"/>
    <w:rsid w:val="00AD5875"/>
    <w:rsid w:val="00AE5A00"/>
    <w:rsid w:val="00AF1DD6"/>
    <w:rsid w:val="00AF2A3C"/>
    <w:rsid w:val="00B02FB7"/>
    <w:rsid w:val="00B1485D"/>
    <w:rsid w:val="00B3191C"/>
    <w:rsid w:val="00B31C8C"/>
    <w:rsid w:val="00B422A6"/>
    <w:rsid w:val="00B60155"/>
    <w:rsid w:val="00B608A0"/>
    <w:rsid w:val="00B66D8E"/>
    <w:rsid w:val="00B91DC0"/>
    <w:rsid w:val="00B973A1"/>
    <w:rsid w:val="00BA3674"/>
    <w:rsid w:val="00BA483A"/>
    <w:rsid w:val="00BB7662"/>
    <w:rsid w:val="00BC000F"/>
    <w:rsid w:val="00BC3F6A"/>
    <w:rsid w:val="00C05F54"/>
    <w:rsid w:val="00C31EA2"/>
    <w:rsid w:val="00C42149"/>
    <w:rsid w:val="00C45941"/>
    <w:rsid w:val="00C46481"/>
    <w:rsid w:val="00C74C19"/>
    <w:rsid w:val="00CC261D"/>
    <w:rsid w:val="00CC73B1"/>
    <w:rsid w:val="00CD7624"/>
    <w:rsid w:val="00CE3F39"/>
    <w:rsid w:val="00CF6278"/>
    <w:rsid w:val="00D22A40"/>
    <w:rsid w:val="00D427FC"/>
    <w:rsid w:val="00D441FC"/>
    <w:rsid w:val="00D45D45"/>
    <w:rsid w:val="00D47666"/>
    <w:rsid w:val="00D662B9"/>
    <w:rsid w:val="00D81D7F"/>
    <w:rsid w:val="00E04DD1"/>
    <w:rsid w:val="00E63549"/>
    <w:rsid w:val="00E70DA1"/>
    <w:rsid w:val="00E76764"/>
    <w:rsid w:val="00E823D7"/>
    <w:rsid w:val="00E834BA"/>
    <w:rsid w:val="00EA3300"/>
    <w:rsid w:val="00EB05E3"/>
    <w:rsid w:val="00EB1934"/>
    <w:rsid w:val="00EB2EF0"/>
    <w:rsid w:val="00EB6E1E"/>
    <w:rsid w:val="00EC443B"/>
    <w:rsid w:val="00EC6A34"/>
    <w:rsid w:val="00EF0ACA"/>
    <w:rsid w:val="00EF0F6F"/>
    <w:rsid w:val="00EF6A5F"/>
    <w:rsid w:val="00F041F1"/>
    <w:rsid w:val="00F301FA"/>
    <w:rsid w:val="00F51BC2"/>
    <w:rsid w:val="00F66944"/>
    <w:rsid w:val="00F732BB"/>
    <w:rsid w:val="00F817AB"/>
    <w:rsid w:val="00F92725"/>
    <w:rsid w:val="00F92D4A"/>
    <w:rsid w:val="00FB0850"/>
    <w:rsid w:val="00FB57BC"/>
    <w:rsid w:val="00FE1351"/>
    <w:rsid w:val="00FF104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27">
      <o:colormenu v:ext="edit" fillcolor="none"/>
    </o:shapedefaults>
    <o:shapelayout v:ext="edit">
      <o:idmap v:ext="edit" data="1"/>
    </o:shapelayout>
  </w:shapeDefaults>
  <w:decimalSymbol w:val="."/>
  <w:listSeparator w:val=","/>
  <w15:docId w15:val="{B312FC87-4CB7-42B5-BBCC-3A27331D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43B"/>
    <w:rPr>
      <w:rFonts w:ascii="Arial" w:hAnsi="Arial"/>
      <w:sz w:val="24"/>
      <w:szCs w:val="24"/>
      <w:lang w:eastAsia="en-US"/>
    </w:rPr>
  </w:style>
  <w:style w:type="paragraph" w:styleId="Heading1">
    <w:name w:val="heading 1"/>
    <w:basedOn w:val="Normal"/>
    <w:next w:val="Normal"/>
    <w:qFormat/>
    <w:rsid w:val="00EC443B"/>
    <w:pPr>
      <w:keepNext/>
      <w:spacing w:before="120"/>
      <w:outlineLvl w:val="0"/>
    </w:pPr>
    <w:rPr>
      <w:b/>
      <w:kern w:val="32"/>
      <w:sz w:val="28"/>
      <w:szCs w:val="32"/>
    </w:rPr>
  </w:style>
  <w:style w:type="paragraph" w:styleId="Heading2">
    <w:name w:val="heading 2"/>
    <w:basedOn w:val="Normal"/>
    <w:next w:val="Normal"/>
    <w:qFormat/>
    <w:rsid w:val="00EC443B"/>
    <w:pPr>
      <w:keepNext/>
      <w:ind w:right="-1"/>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C443B"/>
    <w:pPr>
      <w:tabs>
        <w:tab w:val="center" w:pos="4320"/>
        <w:tab w:val="right" w:pos="8640"/>
      </w:tabs>
    </w:pPr>
  </w:style>
  <w:style w:type="paragraph" w:styleId="Footer">
    <w:name w:val="footer"/>
    <w:basedOn w:val="Normal"/>
    <w:semiHidden/>
    <w:rsid w:val="00EC443B"/>
    <w:pPr>
      <w:tabs>
        <w:tab w:val="center" w:pos="4320"/>
        <w:tab w:val="right" w:pos="8640"/>
      </w:tabs>
    </w:pPr>
  </w:style>
  <w:style w:type="paragraph" w:customStyle="1" w:styleId="Masthead">
    <w:name w:val="Masthead"/>
    <w:basedOn w:val="Heading1"/>
    <w:rsid w:val="00EC443B"/>
    <w:pPr>
      <w:spacing w:before="0" w:line="180" w:lineRule="atLeast"/>
    </w:pPr>
    <w:rPr>
      <w:b w:val="0"/>
      <w:color w:val="FFFFFF"/>
      <w:kern w:val="0"/>
      <w:sz w:val="44"/>
      <w:szCs w:val="20"/>
    </w:rPr>
  </w:style>
  <w:style w:type="paragraph" w:customStyle="1" w:styleId="Normal10pts">
    <w:name w:val="Normal 10 pts"/>
    <w:basedOn w:val="Normal"/>
    <w:rsid w:val="00EC443B"/>
    <w:pPr>
      <w:tabs>
        <w:tab w:val="left" w:pos="851"/>
      </w:tabs>
      <w:ind w:right="-1"/>
    </w:pPr>
    <w:rPr>
      <w:sz w:val="20"/>
    </w:rPr>
  </w:style>
  <w:style w:type="paragraph" w:customStyle="1" w:styleId="SubHeading">
    <w:name w:val="Sub Heading"/>
    <w:basedOn w:val="Normal"/>
    <w:rsid w:val="00EC443B"/>
    <w:pPr>
      <w:tabs>
        <w:tab w:val="left" w:pos="851"/>
      </w:tabs>
      <w:ind w:right="-1"/>
    </w:pPr>
    <w:rPr>
      <w:color w:val="0F4B90"/>
      <w:kern w:val="20"/>
      <w:position w:val="12"/>
      <w:sz w:val="40"/>
    </w:rPr>
  </w:style>
  <w:style w:type="paragraph" w:styleId="NormalWeb">
    <w:name w:val="Normal (Web)"/>
    <w:basedOn w:val="Normal"/>
    <w:semiHidden/>
    <w:rsid w:val="00EC443B"/>
    <w:pPr>
      <w:spacing w:before="100" w:beforeAutospacing="1" w:after="100" w:afterAutospacing="1"/>
    </w:pPr>
    <w:rPr>
      <w:rFonts w:ascii="Arial Unicode MS" w:eastAsia="Arial Unicode MS" w:hAnsi="Arial Unicode MS" w:cs="Arial Unicode MS"/>
    </w:rPr>
  </w:style>
  <w:style w:type="paragraph" w:customStyle="1" w:styleId="heading5">
    <w:name w:val="heading5"/>
    <w:basedOn w:val="Normal"/>
    <w:rsid w:val="00EC443B"/>
    <w:pPr>
      <w:ind w:right="-108"/>
    </w:pPr>
    <w:rPr>
      <w:rFonts w:ascii="Arial Narrow" w:hAnsi="Arial Narrow"/>
      <w:b/>
      <w:szCs w:val="20"/>
      <w:lang w:val="en-GB"/>
    </w:rPr>
  </w:style>
  <w:style w:type="paragraph" w:customStyle="1" w:styleId="CM41">
    <w:name w:val="CM41"/>
    <w:basedOn w:val="Normal"/>
    <w:next w:val="Normal"/>
    <w:rsid w:val="00EC443B"/>
    <w:pPr>
      <w:widowControl w:val="0"/>
      <w:autoSpaceDE w:val="0"/>
      <w:autoSpaceDN w:val="0"/>
      <w:adjustRightInd w:val="0"/>
      <w:spacing w:after="360"/>
    </w:pPr>
    <w:rPr>
      <w:lang w:eastAsia="en-AU"/>
    </w:rPr>
  </w:style>
  <w:style w:type="paragraph" w:styleId="BodyText">
    <w:name w:val="Body Text"/>
    <w:basedOn w:val="Normal"/>
    <w:link w:val="BodyTextChar"/>
    <w:semiHidden/>
    <w:rsid w:val="00EC443B"/>
    <w:pPr>
      <w:ind w:right="-1"/>
    </w:pPr>
    <w:rPr>
      <w:rFonts w:cs="Arial"/>
      <w:szCs w:val="20"/>
    </w:rPr>
  </w:style>
  <w:style w:type="character" w:styleId="Hyperlink">
    <w:name w:val="Hyperlink"/>
    <w:basedOn w:val="DefaultParagraphFont"/>
    <w:semiHidden/>
    <w:rsid w:val="00EC443B"/>
    <w:rPr>
      <w:color w:val="0000FF"/>
      <w:u w:val="single"/>
    </w:rPr>
  </w:style>
  <w:style w:type="paragraph" w:styleId="BodyTextIndent2">
    <w:name w:val="Body Text Indent 2"/>
    <w:basedOn w:val="Normal"/>
    <w:semiHidden/>
    <w:rsid w:val="00EC443B"/>
    <w:pPr>
      <w:ind w:left="349"/>
    </w:pPr>
    <w:rPr>
      <w:u w:val="single"/>
    </w:rPr>
  </w:style>
  <w:style w:type="paragraph" w:styleId="FootnoteText">
    <w:name w:val="footnote text"/>
    <w:basedOn w:val="Normal"/>
    <w:semiHidden/>
    <w:rsid w:val="00EC443B"/>
    <w:rPr>
      <w:rFonts w:ascii="Times New Roman" w:hAnsi="Times New Roman"/>
      <w:sz w:val="20"/>
      <w:szCs w:val="20"/>
      <w:lang w:val="en-US"/>
    </w:rPr>
  </w:style>
  <w:style w:type="character" w:styleId="PageNumber">
    <w:name w:val="page number"/>
    <w:basedOn w:val="DefaultParagraphFont"/>
    <w:semiHidden/>
    <w:rsid w:val="00EC443B"/>
  </w:style>
  <w:style w:type="character" w:styleId="FollowedHyperlink">
    <w:name w:val="FollowedHyperlink"/>
    <w:basedOn w:val="DefaultParagraphFont"/>
    <w:semiHidden/>
    <w:rsid w:val="00EC443B"/>
    <w:rPr>
      <w:color w:val="800080"/>
      <w:u w:val="single"/>
    </w:rPr>
  </w:style>
  <w:style w:type="paragraph" w:styleId="ListParagraph">
    <w:name w:val="List Paragraph"/>
    <w:basedOn w:val="Normal"/>
    <w:uiPriority w:val="34"/>
    <w:qFormat/>
    <w:rsid w:val="000279A5"/>
    <w:pPr>
      <w:widowControl w:val="0"/>
      <w:spacing w:after="200" w:line="276" w:lineRule="auto"/>
      <w:ind w:left="720"/>
      <w:contextualSpacing/>
    </w:pPr>
    <w:rPr>
      <w:rFonts w:ascii="Calibri" w:eastAsia="Calibri" w:hAnsi="Calibri"/>
      <w:sz w:val="22"/>
      <w:szCs w:val="22"/>
      <w:lang w:val="en-US"/>
    </w:rPr>
  </w:style>
  <w:style w:type="character" w:customStyle="1" w:styleId="BodyTextChar">
    <w:name w:val="Body Text Char"/>
    <w:basedOn w:val="DefaultParagraphFont"/>
    <w:link w:val="BodyText"/>
    <w:semiHidden/>
    <w:rsid w:val="00BA3674"/>
    <w:rPr>
      <w:rFonts w:ascii="Arial" w:hAnsi="Arial" w:cs="Arial"/>
      <w:sz w:val="24"/>
      <w:lang w:eastAsia="en-US"/>
    </w:rPr>
  </w:style>
  <w:style w:type="table" w:styleId="TableGrid">
    <w:name w:val="Table Grid"/>
    <w:basedOn w:val="TableNormal"/>
    <w:uiPriority w:val="59"/>
    <w:rsid w:val="00B60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2C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C6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yside.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C759D-9CF6-4781-82FB-2EDF49EA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Intro text (Arial 13pts) Lorem ipsum dolor sit amet, consectetuer adipiscing elit, sed diam nonummy nibh euismod tincidunt ut l</vt:lpstr>
    </vt:vector>
  </TitlesOfParts>
  <Company>Struck and Spink</Company>
  <LinksUpToDate>false</LinksUpToDate>
  <CharactersWithSpaces>8194</CharactersWithSpaces>
  <SharedDoc>false</SharedDoc>
  <HLinks>
    <vt:vector size="24" baseType="variant">
      <vt:variant>
        <vt:i4>7733371</vt:i4>
      </vt:variant>
      <vt:variant>
        <vt:i4>9</vt:i4>
      </vt:variant>
      <vt:variant>
        <vt:i4>0</vt:i4>
      </vt:variant>
      <vt:variant>
        <vt:i4>5</vt:i4>
      </vt:variant>
      <vt:variant>
        <vt:lpwstr>http://www.bayside.vic.gov.au/</vt:lpwstr>
      </vt:variant>
      <vt:variant>
        <vt:lpwstr/>
      </vt:variant>
      <vt:variant>
        <vt:i4>7733371</vt:i4>
      </vt:variant>
      <vt:variant>
        <vt:i4>6</vt:i4>
      </vt:variant>
      <vt:variant>
        <vt:i4>0</vt:i4>
      </vt:variant>
      <vt:variant>
        <vt:i4>5</vt:i4>
      </vt:variant>
      <vt:variant>
        <vt:lpwstr>http://www.bayside.vic.gov.au/</vt:lpwstr>
      </vt:variant>
      <vt:variant>
        <vt:lpwstr/>
      </vt:variant>
      <vt:variant>
        <vt:i4>1769525</vt:i4>
      </vt:variant>
      <vt:variant>
        <vt:i4>3</vt:i4>
      </vt:variant>
      <vt:variant>
        <vt:i4>0</vt:i4>
      </vt:variant>
      <vt:variant>
        <vt:i4>5</vt:i4>
      </vt:variant>
      <vt:variant>
        <vt:lpwstr>mailto:pclancy@bayside.vic.gov.au</vt:lpwstr>
      </vt:variant>
      <vt:variant>
        <vt:lpwstr/>
      </vt:variant>
      <vt:variant>
        <vt:i4>7733371</vt:i4>
      </vt:variant>
      <vt:variant>
        <vt:i4>0</vt:i4>
      </vt:variant>
      <vt:variant>
        <vt:i4>0</vt:i4>
      </vt:variant>
      <vt:variant>
        <vt:i4>5</vt:i4>
      </vt:variant>
      <vt:variant>
        <vt:lpwstr>http://www.bayside.vic.gov.au/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text (Arial 13pts) Lorem ipsum dolor sit amet, consectetuer adipiscing elit, sed diam nonummy nibh euismod tincidunt ut l</dc:title>
  <dc:creator>jroberts</dc:creator>
  <cp:lastModifiedBy>Edward Chisholm</cp:lastModifiedBy>
  <cp:revision>2</cp:revision>
  <cp:lastPrinted>2018-01-11T04:26:00Z</cp:lastPrinted>
  <dcterms:created xsi:type="dcterms:W3CDTF">2018-06-15T01:36:00Z</dcterms:created>
  <dcterms:modified xsi:type="dcterms:W3CDTF">2018-06-15T01:36:00Z</dcterms:modified>
</cp:coreProperties>
</file>