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/>
        <w:ind w:left="20" w:right="5180" w:hanging="0"/>
        <w:rPr/>
      </w:pPr>
      <w:bookmarkStart w:id="0" w:name="page1"/>
      <w:bookmarkEnd w:id="0"/>
      <w:r>
        <w:drawing>
          <wp:anchor behindDoc="1" distT="0" distB="0" distL="114935" distR="114935" simplePos="0" locked="0" layoutInCell="1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566483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1F1A4E"/>
          <w:sz w:val="62"/>
        </w:rPr>
        <w:t>F</w:t>
      </w:r>
      <w:r>
        <w:rPr>
          <w:rFonts w:eastAsia="Times New Roman" w:cs="Times New Roman" w:ascii="Times New Roman" w:hAnsi="Times New Roman"/>
          <w:color w:val="1F1A4E"/>
          <w:sz w:val="62"/>
        </w:rPr>
        <w:t xml:space="preserve">unded Easy Living Equipment </w:t>
      </w:r>
      <w:r>
        <w:rPr>
          <w:rFonts w:eastAsia="Times New Roman" w:cs="Times New Roman" w:ascii="Times New Roman" w:hAnsi="Times New Roman"/>
          <w:color w:val="E35E49"/>
          <w:sz w:val="62"/>
        </w:rPr>
        <w:t>geat2GO funding program provided through Indigo</w:t>
      </w:r>
    </w:p>
    <w:p>
      <w:pPr>
        <w:sectPr>
          <w:type w:val="nextPage"/>
          <w:pgSz w:w="11906" w:h="16838"/>
          <w:pgMar w:left="700" w:right="746" w:header="0" w:top="572" w:footer="0" w:bottom="158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color w:val="E35E49"/>
          <w:sz w:val="24"/>
        </w:rPr>
      </w:pPr>
      <w:r>
        <w:rPr>
          <w:rFonts w:eastAsia="Times New Roman" w:cs="Times New Roman" w:ascii="Times New Roman" w:hAnsi="Times New Roman"/>
          <w:color w:val="E35E49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321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56"/>
        <w:ind w:left="20" w:hanging="0"/>
        <w:rPr>
          <w:rFonts w:ascii="Times New Roman" w:hAnsi="Times New Roman" w:eastAsia="Times New Roman" w:cs="Times New Roman"/>
          <w:color w:val="383B40"/>
          <w:sz w:val="28"/>
        </w:rPr>
      </w:pPr>
      <w:r>
        <w:rPr>
          <w:rFonts w:eastAsia="Times New Roman" w:cs="Times New Roman" w:ascii="Times New Roman" w:hAnsi="Times New Roman"/>
          <w:color w:val="383B40"/>
          <w:sz w:val="28"/>
        </w:rPr>
        <w:t>If your client is having difficulty paying for Easy Living Equipment, they can access geat2GO equipment funding through Indigo. Indigo is the national Goods Equipment and Assistive Technology (GEAT) provider, offering</w:t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color w:val="383B40"/>
          <w:sz w:val="24"/>
        </w:rPr>
      </w:pPr>
      <w:r>
        <w:br w:type="column"/>
      </w:r>
      <w:r>
        <w:rPr>
          <w:rFonts w:eastAsia="Times New Roman" w:cs="Times New Roman" w:ascii="Times New Roman" w:hAnsi="Times New Roman"/>
          <w:color w:val="383B40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321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59"/>
        <w:rPr>
          <w:rFonts w:ascii="Times New Roman" w:hAnsi="Times New Roman" w:eastAsia="Times New Roman" w:cs="Times New Roman"/>
          <w:color w:val="383B40"/>
          <w:sz w:val="28"/>
        </w:rPr>
      </w:pPr>
      <w:r>
        <w:rPr>
          <w:rFonts w:eastAsia="Times New Roman" w:cs="Times New Roman" w:ascii="Times New Roman" w:hAnsi="Times New Roman"/>
          <w:color w:val="383B40"/>
          <w:sz w:val="28"/>
        </w:rPr>
        <w:t>more choice and opportunity to deliver assistive technology items to older people. Australian geat2GO is funded under the Commonwealth Home Support Programme (CHSP).</w:t>
      </w:r>
    </w:p>
    <w:p>
      <w:pPr>
        <w:pStyle w:val="Normal"/>
        <w:spacing w:lineRule="exact" w:line="20"/>
        <w:rPr>
          <w:rFonts w:ascii="Times New Roman" w:hAnsi="Times New Roman" w:eastAsia="Times New Roman" w:cs="Times New Roman"/>
          <w:color w:val="383B40"/>
          <w:sz w:val="24"/>
        </w:rPr>
      </w:pPr>
      <w:r>
        <w:rPr>
          <w:rFonts w:eastAsia="Times New Roman" w:cs="Times New Roman" w:ascii="Times New Roman" w:hAnsi="Times New Roman"/>
          <w:color w:val="383B40"/>
          <w:sz w:val="24"/>
        </w:rPr>
        <mc:AlternateContent>
          <mc:Choice Requires="wps">
            <w:drawing>
              <wp:anchor behindDoc="1" distT="0" distB="0" distL="114935" distR="114935" simplePos="0" locked="0" layoutInCell="1" allowOverlap="1" relativeHeight="3">
                <wp:simplePos x="0" y="0"/>
                <wp:positionH relativeFrom="column">
                  <wp:posOffset>-3402965</wp:posOffset>
                </wp:positionH>
                <wp:positionV relativeFrom="paragraph">
                  <wp:posOffset>645795</wp:posOffset>
                </wp:positionV>
                <wp:extent cx="6645910" cy="44831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40" cy="447840"/>
                        </a:xfrm>
                        <a:prstGeom prst="rect">
                          <a:avLst/>
                        </a:prstGeom>
                        <a:solidFill>
                          <a:srgbClr val="e35e49"/>
                        </a:solidFill>
                        <a:ln w="9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e35e49" stroked="t" style="position:absolute;margin-left:-267.95pt;margin-top:50.85pt;width:523.2pt;height:35.2pt">
                <w10:wrap type="none"/>
                <v:fill o:detectmouseclick="t" type="solid" color2="#1ca1b6"/>
                <v:stroke color="white" weight="9360" joinstyle="miter" endcap="square"/>
              </v:rect>
            </w:pict>
          </mc:Fallback>
        </mc:AlternateContent>
      </w:r>
    </w:p>
    <w:p>
      <w:pPr>
        <w:sectPr>
          <w:type w:val="continuous"/>
          <w:pgSz w:w="11906" w:h="16838"/>
          <w:pgMar w:left="700" w:right="746" w:header="0" w:top="572" w:footer="0" w:bottom="158" w:gutter="0"/>
          <w:cols w:num="2" w:equalWidth="false" w:sep="false">
            <w:col w:w="4840" w:space="540"/>
            <w:col w:w="5080"/>
          </w:cols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7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/>
        <w:ind w:right="-39" w:hanging="0"/>
        <w:jc w:val="center"/>
        <w:rPr>
          <w:rFonts w:ascii="Arial" w:hAnsi="Arial" w:eastAsia="Arial" w:cs="Arial"/>
          <w:color w:val="FFFFFF"/>
          <w:sz w:val="26"/>
        </w:rPr>
      </w:pPr>
      <w:r>
        <w:rPr>
          <w:rFonts w:eastAsia="Arial" w:cs="Arial" w:ascii="Arial" w:hAnsi="Arial"/>
          <w:color w:val="FFFFFF"/>
          <w:sz w:val="26"/>
        </w:rPr>
        <w:t>STEPS TO ACCESS FUNDING</w:t>
      </w:r>
    </w:p>
    <w:p>
      <w:pPr>
        <w:pStyle w:val="Normal"/>
        <w:spacing w:lineRule="exact" w:line="20"/>
        <w:rPr>
          <w:rFonts w:ascii="Times New Roman" w:hAnsi="Times New Roman" w:eastAsia="Times New Roman" w:cs="Times New Roman"/>
          <w:color w:val="FFFFFF"/>
          <w:sz w:val="24"/>
        </w:rPr>
      </w:pPr>
      <w:r>
        <w:rPr>
          <w:rFonts w:eastAsia="Times New Roman" w:cs="Times New Roman" w:ascii="Times New Roman" w:hAnsi="Times New Roman"/>
          <w:color w:val="FFFFFF"/>
          <w:sz w:val="24"/>
        </w:rPr>
        <mc:AlternateContent>
          <mc:Choice Requires="wps">
            <w:drawing>
              <wp:anchor behindDoc="1" distT="0" distB="0" distL="114935" distR="114935" simplePos="0" locked="0" layoutInCell="1" allowOverlap="1" relativeHeight="4">
                <wp:simplePos x="0" y="0"/>
                <wp:positionH relativeFrom="column">
                  <wp:posOffset>12700</wp:posOffset>
                </wp:positionH>
                <wp:positionV relativeFrom="paragraph">
                  <wp:posOffset>139065</wp:posOffset>
                </wp:positionV>
                <wp:extent cx="6646545" cy="145732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60" cy="1456560"/>
                        </a:xfrm>
                        <a:prstGeom prst="rect">
                          <a:avLst/>
                        </a:prstGeom>
                        <a:solidFill>
                          <a:srgbClr val="e9e8ea"/>
                        </a:solidFill>
                        <a:ln w="9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e9e8ea" stroked="t" style="position:absolute;margin-left:1pt;margin-top:10.95pt;width:523.25pt;height:114.65pt">
                <w10:wrap type="none"/>
                <v:fill o:detectmouseclick="t" type="solid" color2="#161715"/>
                <v:stroke color="white" weight="9360" joinstyle="miter" endcap="square"/>
              </v:rect>
            </w:pict>
          </mc:Fallback>
        </mc:AlternateContent>
      </w:r>
    </w:p>
    <w:p>
      <w:pPr>
        <w:pStyle w:val="Normal"/>
        <w:spacing w:lineRule="exact" w:line="387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numPr>
          <w:ilvl w:val="0"/>
          <w:numId w:val="1"/>
        </w:numPr>
        <w:tabs>
          <w:tab w:val="left" w:pos="600" w:leader="none"/>
        </w:tabs>
        <w:spacing w:lineRule="auto" w:line="316"/>
        <w:ind w:left="600" w:right="2960" w:hanging="353"/>
        <w:rPr>
          <w:rFonts w:ascii="Arial" w:hAnsi="Arial" w:eastAsia="Arial" w:cs="Arial"/>
          <w:color w:val="383B40"/>
          <w:sz w:val="26"/>
        </w:rPr>
      </w:pPr>
      <w:r>
        <w:rPr>
          <w:rFonts w:eastAsia="Arial" w:cs="Arial" w:ascii="Arial" w:hAnsi="Arial"/>
          <w:color w:val="383B40"/>
          <w:sz w:val="26"/>
        </w:rPr>
        <w:t>Contact your supervisor and follow your organisation’s processes to request a Support Plan Review</w:t>
      </w:r>
    </w:p>
    <w:p>
      <w:pPr>
        <w:pStyle w:val="Normal"/>
        <w:spacing w:lineRule="exact" w:line="1"/>
        <w:rPr>
          <w:rFonts w:ascii="Arial" w:hAnsi="Arial" w:eastAsia="Arial" w:cs="Arial"/>
          <w:color w:val="383B40"/>
          <w:sz w:val="26"/>
        </w:rPr>
      </w:pPr>
      <w:r>
        <w:rPr>
          <w:rFonts w:eastAsia="Arial" w:cs="Arial" w:ascii="Arial" w:hAnsi="Arial"/>
          <w:color w:val="383B40"/>
          <w:sz w:val="26"/>
        </w:rPr>
      </w:r>
    </w:p>
    <w:p>
      <w:pPr>
        <w:pStyle w:val="Normal"/>
        <w:numPr>
          <w:ilvl w:val="0"/>
          <w:numId w:val="1"/>
        </w:numPr>
        <w:tabs>
          <w:tab w:val="left" w:pos="600" w:leader="none"/>
        </w:tabs>
        <w:spacing w:lineRule="auto"/>
        <w:ind w:left="600" w:hanging="353"/>
        <w:rPr>
          <w:rFonts w:ascii="Arial" w:hAnsi="Arial" w:eastAsia="Arial" w:cs="Arial"/>
          <w:color w:val="383B40"/>
          <w:sz w:val="26"/>
        </w:rPr>
      </w:pPr>
      <w:r>
        <w:rPr>
          <w:rFonts w:eastAsia="Arial" w:cs="Arial" w:ascii="Arial" w:hAnsi="Arial"/>
          <w:color w:val="383B40"/>
          <w:sz w:val="26"/>
        </w:rPr>
        <w:t>Support Plan Review process occurs</w:t>
      </w:r>
    </w:p>
    <w:p>
      <w:pPr>
        <w:pStyle w:val="Normal"/>
        <w:spacing w:lineRule="exact" w:line="183"/>
        <w:rPr>
          <w:rFonts w:ascii="Arial" w:hAnsi="Arial" w:eastAsia="Arial" w:cs="Arial"/>
          <w:color w:val="383B40"/>
          <w:sz w:val="26"/>
        </w:rPr>
      </w:pPr>
      <w:r>
        <w:rPr>
          <w:rFonts w:eastAsia="Arial" w:cs="Arial" w:ascii="Arial" w:hAnsi="Arial"/>
          <w:color w:val="383B40"/>
          <w:sz w:val="26"/>
        </w:rPr>
      </w:r>
    </w:p>
    <w:p>
      <w:pPr>
        <w:pStyle w:val="Normal"/>
        <w:numPr>
          <w:ilvl w:val="0"/>
          <w:numId w:val="1"/>
        </w:numPr>
        <w:tabs>
          <w:tab w:val="left" w:pos="600" w:leader="none"/>
        </w:tabs>
        <w:spacing w:lineRule="auto" w:line="324"/>
        <w:ind w:left="600" w:right="2180" w:hanging="353"/>
        <w:rPr>
          <w:rFonts w:ascii="Arial" w:hAnsi="Arial" w:eastAsia="Arial" w:cs="Arial"/>
          <w:color w:val="383B40"/>
          <w:sz w:val="26"/>
        </w:rPr>
      </w:pPr>
      <w:r>
        <w:rPr>
          <w:rFonts w:eastAsia="Arial" w:cs="Arial" w:ascii="Arial" w:hAnsi="Arial"/>
          <w:color w:val="383B40"/>
          <w:sz w:val="26"/>
        </w:rPr>
        <w:t>The Assessor will contact the client, discuss their equipment needs and organise a referral to geat2Go as appropriate</w:t>
      </w:r>
    </w:p>
    <w:p>
      <w:pPr>
        <w:sectPr>
          <w:type w:val="continuous"/>
          <w:pgSz w:w="11906" w:h="16838"/>
          <w:pgMar w:left="700" w:right="746" w:header="0" w:top="572" w:footer="0" w:bottom="158" w:gutter="0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color w:val="383B40"/>
          <w:sz w:val="24"/>
        </w:rPr>
      </w:pPr>
      <w:r>
        <w:rPr>
          <w:rFonts w:eastAsia="Times New Roman" w:cs="Times New Roman" w:ascii="Times New Roman" w:hAnsi="Times New Roman"/>
          <w:color w:val="383B40"/>
          <w:sz w:val="24"/>
        </w:rPr>
      </w:r>
    </w:p>
    <w:p>
      <w:pPr>
        <w:pStyle w:val="Normal"/>
        <w:spacing w:lineRule="exact" w:line="391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/>
        <w:rPr/>
      </w:pPr>
      <w:r>
        <w:rPr>
          <w:rFonts w:eastAsia="Times New Roman" w:cs="Times New Roman" w:ascii="Times New Roman" w:hAnsi="Times New Roman"/>
          <w:color w:val="383B40"/>
          <w:sz w:val="28"/>
        </w:rPr>
        <w:t>For more information about geat2GO go to</w:t>
      </w:r>
      <w:r>
        <w:rPr>
          <w:rFonts w:eastAsia="Times New Roman" w:cs="Times New Roman" w:ascii="Times New Roman" w:hAnsi="Times New Roman"/>
          <w:color w:val="6967AE"/>
          <w:sz w:val="28"/>
        </w:rPr>
        <w:t xml:space="preserve"> </w:t>
      </w:r>
      <w:hyperlink r:id="rId3">
        <w:r>
          <w:rPr>
            <w:rStyle w:val="InternetLink"/>
            <w:rFonts w:eastAsia="Times New Roman" w:cs="Times New Roman" w:ascii="Times New Roman" w:hAnsi="Times New Roman"/>
            <w:color w:val="6967AE"/>
            <w:sz w:val="28"/>
            <w:u w:val="single"/>
          </w:rPr>
          <w:t>bit.ly/geat2GO</w:t>
        </w:r>
      </w:hyperlink>
    </w:p>
    <w:sectPr>
      <w:type w:val="continuous"/>
      <w:pgSz w:w="11906" w:h="16838"/>
      <w:pgMar w:left="700" w:right="746" w:header="0" w:top="572" w:footer="0" w:bottom="15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swiss"/>
    <w:pitch w:val="variable"/>
  </w:font>
  <w:font w:name="Liberation Sans">
    <w:altName w:val="Arial"/>
    <w:charset w:val="0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0" w:hanging="0"/>
      </w:pPr>
      <w:rPr>
        <w:sz w:val="26"/>
        <w:rFonts w:ascii="Arial" w:hAnsi="Arial" w:eastAsia="Arial" w:cs="Aria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 Mono" w:cs="Noto Sans Devanagari U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Calibri" w:hAnsi="Calibri" w:eastAsia="Calibri" w:cs="Arial"/>
      <w:color w:val="auto"/>
      <w:sz w:val="20"/>
      <w:szCs w:val="20"/>
      <w:lang w:val="en-US" w:eastAsia="zh-CN" w:bidi="hi-IN"/>
    </w:rPr>
  </w:style>
  <w:style w:type="character" w:styleId="WW8Num1z0">
    <w:name w:val="WW8Num1z0"/>
    <w:qFormat/>
    <w:rPr>
      <w:rFonts w:ascii="Arial" w:hAnsi="Arial" w:eastAsia="Arial" w:cs="Arial"/>
      <w:sz w:val="26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DefaultParagraphFont">
    <w:name w:val="Default Paragraph Font"/>
    <w:qFormat/>
    <w:rPr/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 Mono" w:cs="Noto Sans Devanagari U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Noto Sans Devanagari U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 U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 UI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bit.ly/geat2GO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/>
</cp:coreProperties>
</file>